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44FF64" w14:textId="5C570D17" w:rsidR="00640471" w:rsidRPr="004C4AD4" w:rsidRDefault="00640471" w:rsidP="00640471">
      <w:pPr>
        <w:rPr>
          <w:rFonts w:asciiTheme="majorBidi" w:eastAsia="Times New Roman" w:hAnsiTheme="majorBidi" w:cstheme="majorBidi"/>
          <w:b/>
          <w:bCs/>
          <w:lang w:eastAsia="tr-TR"/>
        </w:rPr>
      </w:pPr>
      <w:r w:rsidRPr="00640471">
        <w:rPr>
          <w:rFonts w:asciiTheme="majorBidi" w:eastAsia="Times New Roman" w:hAnsiTheme="majorBidi" w:cstheme="majorBidi"/>
          <w:b/>
          <w:bCs/>
          <w:lang w:eastAsia="tr-TR"/>
        </w:rPr>
        <w:t>9</w:t>
      </w:r>
      <w:r w:rsidRPr="004C4AD4">
        <w:rPr>
          <w:rFonts w:asciiTheme="majorBidi" w:eastAsia="Times New Roman" w:hAnsiTheme="majorBidi" w:cstheme="majorBidi"/>
          <w:b/>
          <w:bCs/>
          <w:lang w:eastAsia="tr-TR"/>
        </w:rPr>
        <w:t>. YY. Müslümanlarında (B)ilim Aş</w:t>
      </w:r>
      <w:r w:rsidRPr="00640471">
        <w:rPr>
          <w:rFonts w:asciiTheme="majorBidi" w:eastAsia="Times New Roman" w:hAnsiTheme="majorBidi" w:cstheme="majorBidi"/>
          <w:b/>
          <w:bCs/>
          <w:lang w:eastAsia="tr-TR"/>
        </w:rPr>
        <w:t>kı ve Zihin Felsefesi Açısından Değerlendirilmesi</w:t>
      </w:r>
    </w:p>
    <w:p w14:paraId="56C20055" w14:textId="77777777" w:rsidR="00640471" w:rsidRPr="004C4AD4" w:rsidRDefault="00640471" w:rsidP="00640471">
      <w:pPr>
        <w:rPr>
          <w:rFonts w:asciiTheme="majorBidi" w:eastAsia="Calibri" w:hAnsiTheme="majorBidi" w:cstheme="majorBidi"/>
          <w:b/>
          <w:bCs/>
        </w:rPr>
      </w:pPr>
      <w:r w:rsidRPr="004C4AD4">
        <w:rPr>
          <w:rFonts w:asciiTheme="majorBidi" w:eastAsia="Calibri" w:hAnsiTheme="majorBidi" w:cstheme="majorBidi"/>
          <w:b/>
          <w:bCs/>
        </w:rPr>
        <w:t xml:space="preserve">                                        </w:t>
      </w:r>
    </w:p>
    <w:p w14:paraId="129E07D2" w14:textId="1BA1B922" w:rsidR="00640471" w:rsidRPr="00640471" w:rsidRDefault="00640471" w:rsidP="00640471">
      <w:pPr>
        <w:jc w:val="right"/>
        <w:rPr>
          <w:rFonts w:asciiTheme="majorBidi" w:eastAsia="Times New Roman" w:hAnsiTheme="majorBidi" w:cstheme="majorBidi"/>
          <w:lang w:eastAsia="tr-TR"/>
        </w:rPr>
      </w:pPr>
      <w:r w:rsidRPr="004C4AD4">
        <w:rPr>
          <w:rFonts w:asciiTheme="majorBidi" w:eastAsia="Calibri" w:hAnsiTheme="majorBidi" w:cstheme="majorBidi"/>
          <w:b/>
          <w:bCs/>
        </w:rPr>
        <w:t xml:space="preserve">         Yunus CENGİZ</w:t>
      </w:r>
      <w:r w:rsidRPr="004C4AD4">
        <w:rPr>
          <w:rStyle w:val="DipnotBavurusu"/>
          <w:rFonts w:asciiTheme="majorBidi" w:eastAsia="Calibri" w:hAnsiTheme="majorBidi" w:cstheme="majorBidi"/>
          <w:b/>
          <w:bCs/>
        </w:rPr>
        <w:footnoteReference w:id="1"/>
      </w:r>
    </w:p>
    <w:p w14:paraId="038B80E3" w14:textId="77777777" w:rsidR="00B636ED" w:rsidRPr="004C4AD4" w:rsidRDefault="00B636ED" w:rsidP="00B636ED">
      <w:pPr>
        <w:widowControl w:val="0"/>
        <w:autoSpaceDE w:val="0"/>
        <w:autoSpaceDN w:val="0"/>
        <w:adjustRightInd w:val="0"/>
        <w:spacing w:after="240"/>
        <w:rPr>
          <w:rFonts w:asciiTheme="majorBidi" w:hAnsiTheme="majorBidi" w:cstheme="majorBidi"/>
          <w:sz w:val="32"/>
          <w:szCs w:val="32"/>
        </w:rPr>
      </w:pPr>
    </w:p>
    <w:p w14:paraId="19DC44D5" w14:textId="77777777" w:rsidR="00B636ED" w:rsidRPr="004C4AD4" w:rsidRDefault="00B636ED" w:rsidP="00B636ED">
      <w:pPr>
        <w:widowControl w:val="0"/>
        <w:autoSpaceDE w:val="0"/>
        <w:autoSpaceDN w:val="0"/>
        <w:adjustRightInd w:val="0"/>
        <w:spacing w:after="240"/>
        <w:rPr>
          <w:rFonts w:asciiTheme="majorBidi" w:hAnsiTheme="majorBidi" w:cstheme="majorBidi"/>
          <w:sz w:val="32"/>
          <w:szCs w:val="32"/>
        </w:rPr>
      </w:pPr>
    </w:p>
    <w:p w14:paraId="324953FB" w14:textId="4D243C86" w:rsidR="002251A1" w:rsidRPr="004C4AD4" w:rsidRDefault="002251A1" w:rsidP="00B0331D">
      <w:pPr>
        <w:ind w:left="4248"/>
        <w:jc w:val="both"/>
        <w:rPr>
          <w:rFonts w:asciiTheme="majorBidi" w:eastAsiaTheme="minorEastAsia" w:hAnsiTheme="majorBidi" w:cstheme="majorBidi"/>
          <w:sz w:val="22"/>
          <w:szCs w:val="22"/>
        </w:rPr>
      </w:pPr>
      <w:bookmarkStart w:id="0" w:name="_GoBack"/>
      <w:r w:rsidRPr="004C4AD4">
        <w:rPr>
          <w:rFonts w:asciiTheme="majorBidi" w:hAnsiTheme="majorBidi" w:cstheme="majorBidi"/>
          <w:sz w:val="22"/>
          <w:szCs w:val="22"/>
        </w:rPr>
        <w:t>“</w:t>
      </w:r>
      <w:r w:rsidR="009671EF">
        <w:rPr>
          <w:rFonts w:asciiTheme="majorBidi" w:eastAsiaTheme="minorEastAsia" w:hAnsiTheme="majorBidi" w:cstheme="majorBidi"/>
          <w:sz w:val="22"/>
          <w:szCs w:val="22"/>
        </w:rPr>
        <w:t>Bilgi sana kendinden bir şey</w:t>
      </w:r>
      <w:r w:rsidRPr="004C4AD4">
        <w:rPr>
          <w:rFonts w:asciiTheme="majorBidi" w:eastAsiaTheme="minorEastAsia" w:hAnsiTheme="majorBidi" w:cstheme="majorBidi"/>
          <w:sz w:val="22"/>
          <w:szCs w:val="22"/>
        </w:rPr>
        <w:t xml:space="preserve"> vermez, </w:t>
      </w:r>
    </w:p>
    <w:p w14:paraId="42278B4A" w14:textId="77777777" w:rsidR="002251A1" w:rsidRPr="004C4AD4" w:rsidRDefault="002251A1" w:rsidP="00B0331D">
      <w:pPr>
        <w:ind w:left="4248"/>
        <w:jc w:val="both"/>
        <w:rPr>
          <w:rFonts w:asciiTheme="majorBidi" w:eastAsiaTheme="minorEastAsia" w:hAnsiTheme="majorBidi" w:cstheme="majorBidi"/>
          <w:sz w:val="22"/>
          <w:szCs w:val="22"/>
        </w:rPr>
      </w:pPr>
      <w:r w:rsidRPr="004C4AD4">
        <w:rPr>
          <w:rFonts w:asciiTheme="majorBidi" w:eastAsiaTheme="minorEastAsia" w:hAnsiTheme="majorBidi" w:cstheme="majorBidi"/>
          <w:sz w:val="22"/>
          <w:szCs w:val="22"/>
        </w:rPr>
        <w:t xml:space="preserve">sen tümüyle kendini ona vermedikçe. </w:t>
      </w:r>
    </w:p>
    <w:p w14:paraId="02177E30" w14:textId="77777777" w:rsidR="002251A1" w:rsidRPr="004C4AD4" w:rsidRDefault="002251A1" w:rsidP="00B0331D">
      <w:pPr>
        <w:ind w:left="4248"/>
        <w:jc w:val="both"/>
        <w:rPr>
          <w:rFonts w:asciiTheme="majorBidi" w:eastAsiaTheme="minorEastAsia" w:hAnsiTheme="majorBidi" w:cstheme="majorBidi"/>
          <w:sz w:val="22"/>
          <w:szCs w:val="22"/>
        </w:rPr>
      </w:pPr>
      <w:r w:rsidRPr="004C4AD4">
        <w:rPr>
          <w:rFonts w:asciiTheme="majorBidi" w:eastAsiaTheme="minorEastAsia" w:hAnsiTheme="majorBidi" w:cstheme="majorBidi"/>
          <w:sz w:val="22"/>
          <w:szCs w:val="22"/>
        </w:rPr>
        <w:t xml:space="preserve">Kendini tümüyle ona verdiğinde bile; </w:t>
      </w:r>
    </w:p>
    <w:p w14:paraId="5A50A4EB" w14:textId="77777777" w:rsidR="00B636ED" w:rsidRPr="004C4AD4" w:rsidRDefault="002251A1" w:rsidP="00B0331D">
      <w:pPr>
        <w:widowControl w:val="0"/>
        <w:autoSpaceDE w:val="0"/>
        <w:autoSpaceDN w:val="0"/>
        <w:adjustRightInd w:val="0"/>
        <w:ind w:left="4248"/>
        <w:rPr>
          <w:rFonts w:asciiTheme="majorBidi" w:hAnsiTheme="majorBidi" w:cstheme="majorBidi"/>
          <w:sz w:val="22"/>
          <w:szCs w:val="22"/>
        </w:rPr>
      </w:pPr>
      <w:r w:rsidRPr="004C4AD4">
        <w:rPr>
          <w:rFonts w:asciiTheme="majorBidi" w:eastAsiaTheme="minorEastAsia" w:hAnsiTheme="majorBidi" w:cstheme="majorBidi"/>
          <w:sz w:val="22"/>
          <w:szCs w:val="22"/>
        </w:rPr>
        <w:t>belki, sana kendinden bir şey verir, emin olmasan da</w:t>
      </w:r>
      <w:r w:rsidRPr="004C4AD4">
        <w:rPr>
          <w:rFonts w:asciiTheme="majorBidi" w:hAnsiTheme="majorBidi" w:cstheme="majorBidi"/>
          <w:sz w:val="22"/>
          <w:szCs w:val="22"/>
        </w:rPr>
        <w:t>”</w:t>
      </w:r>
      <w:r w:rsidR="00B636ED" w:rsidRPr="004C4AD4">
        <w:rPr>
          <w:rFonts w:asciiTheme="majorBidi" w:hAnsiTheme="majorBidi" w:cstheme="majorBidi"/>
          <w:sz w:val="22"/>
          <w:szCs w:val="22"/>
        </w:rPr>
        <w:t xml:space="preserve"> </w:t>
      </w:r>
    </w:p>
    <w:p w14:paraId="62D3AF07" w14:textId="326D7976" w:rsidR="00B636ED" w:rsidRPr="004C4AD4" w:rsidRDefault="002251A1" w:rsidP="00F7586C">
      <w:pPr>
        <w:widowControl w:val="0"/>
        <w:autoSpaceDE w:val="0"/>
        <w:autoSpaceDN w:val="0"/>
        <w:adjustRightInd w:val="0"/>
        <w:ind w:left="3686"/>
        <w:rPr>
          <w:rFonts w:asciiTheme="majorBidi" w:hAnsiTheme="majorBidi" w:cstheme="majorBidi"/>
          <w:sz w:val="22"/>
          <w:szCs w:val="22"/>
        </w:rPr>
      </w:pPr>
      <w:r w:rsidRPr="004C4AD4">
        <w:rPr>
          <w:rFonts w:asciiTheme="majorBidi" w:hAnsiTheme="majorBidi" w:cstheme="majorBidi"/>
          <w:sz w:val="22"/>
          <w:szCs w:val="22"/>
        </w:rPr>
        <w:t xml:space="preserve">                 </w:t>
      </w:r>
      <w:r w:rsidR="00F7586C">
        <w:rPr>
          <w:rFonts w:asciiTheme="majorBidi" w:hAnsiTheme="majorBidi" w:cstheme="majorBidi"/>
          <w:sz w:val="22"/>
          <w:szCs w:val="22"/>
        </w:rPr>
        <w:t xml:space="preserve">                          </w:t>
      </w:r>
      <w:r w:rsidR="00B0331D" w:rsidRPr="004C4AD4">
        <w:rPr>
          <w:rFonts w:asciiTheme="majorBidi" w:hAnsiTheme="majorBidi" w:cstheme="majorBidi"/>
          <w:sz w:val="22"/>
          <w:szCs w:val="22"/>
        </w:rPr>
        <w:t>(</w:t>
      </w:r>
      <w:r w:rsidR="00F7586C" w:rsidRPr="004C4AD4">
        <w:rPr>
          <w:rFonts w:asciiTheme="majorBidi" w:hAnsiTheme="majorBidi" w:cstheme="majorBidi"/>
          <w:sz w:val="22"/>
          <w:szCs w:val="22"/>
        </w:rPr>
        <w:t>Câhız</w:t>
      </w:r>
      <w:r w:rsidR="00F7586C">
        <w:rPr>
          <w:rFonts w:asciiTheme="majorBidi" w:hAnsiTheme="majorBidi" w:cstheme="majorBidi"/>
          <w:sz w:val="22"/>
          <w:szCs w:val="22"/>
        </w:rPr>
        <w:t>’ın</w:t>
      </w:r>
      <w:r w:rsidR="00F7586C" w:rsidRPr="004C4AD4">
        <w:rPr>
          <w:rFonts w:asciiTheme="majorBidi" w:hAnsiTheme="majorBidi" w:cstheme="majorBidi"/>
          <w:sz w:val="22"/>
          <w:szCs w:val="22"/>
        </w:rPr>
        <w:t xml:space="preserve"> </w:t>
      </w:r>
      <w:r w:rsidR="00F7586C">
        <w:rPr>
          <w:rFonts w:asciiTheme="majorBidi" w:hAnsiTheme="majorBidi" w:cstheme="majorBidi"/>
          <w:sz w:val="22"/>
          <w:szCs w:val="22"/>
        </w:rPr>
        <w:t xml:space="preserve">aktarmasıyla </w:t>
      </w:r>
      <w:r w:rsidR="00B636ED" w:rsidRPr="004C4AD4">
        <w:rPr>
          <w:rFonts w:asciiTheme="majorBidi" w:hAnsiTheme="majorBidi" w:cstheme="majorBidi"/>
          <w:sz w:val="22"/>
          <w:szCs w:val="22"/>
        </w:rPr>
        <w:t>Nazzâm)</w:t>
      </w:r>
      <w:r w:rsidR="00A33CFB">
        <w:rPr>
          <w:rStyle w:val="DipnotBavurusu"/>
          <w:rFonts w:asciiTheme="majorBidi" w:hAnsiTheme="majorBidi" w:cstheme="majorBidi"/>
          <w:sz w:val="22"/>
          <w:szCs w:val="22"/>
        </w:rPr>
        <w:footnoteReference w:id="2"/>
      </w:r>
    </w:p>
    <w:p w14:paraId="6DEE8059" w14:textId="77777777" w:rsidR="00B0331D" w:rsidRPr="004C4AD4" w:rsidRDefault="00B0331D" w:rsidP="00B0331D">
      <w:pPr>
        <w:widowControl w:val="0"/>
        <w:autoSpaceDE w:val="0"/>
        <w:autoSpaceDN w:val="0"/>
        <w:adjustRightInd w:val="0"/>
        <w:ind w:left="3686"/>
        <w:rPr>
          <w:rFonts w:asciiTheme="majorBidi" w:hAnsiTheme="majorBidi" w:cstheme="majorBidi"/>
          <w:sz w:val="22"/>
          <w:szCs w:val="22"/>
        </w:rPr>
      </w:pPr>
    </w:p>
    <w:bookmarkEnd w:id="0"/>
    <w:p w14:paraId="5B49272F" w14:textId="0C0F544B" w:rsidR="00D57523" w:rsidRPr="004C4AD4" w:rsidRDefault="00B0331D" w:rsidP="00696463">
      <w:pPr>
        <w:widowControl w:val="0"/>
        <w:autoSpaceDE w:val="0"/>
        <w:autoSpaceDN w:val="0"/>
        <w:adjustRightInd w:val="0"/>
        <w:spacing w:line="360" w:lineRule="auto"/>
        <w:ind w:firstLine="708"/>
        <w:jc w:val="both"/>
        <w:rPr>
          <w:rFonts w:asciiTheme="majorBidi" w:hAnsiTheme="majorBidi" w:cstheme="majorBidi"/>
          <w:b/>
          <w:bCs/>
        </w:rPr>
      </w:pPr>
      <w:r w:rsidRPr="004C4AD4">
        <w:rPr>
          <w:rFonts w:asciiTheme="majorBidi" w:hAnsiTheme="majorBidi" w:cstheme="majorBidi"/>
          <w:b/>
          <w:bCs/>
        </w:rPr>
        <w:t>Giriş</w:t>
      </w:r>
    </w:p>
    <w:p w14:paraId="6047CC27" w14:textId="0F9E4FCF" w:rsidR="00352191" w:rsidRPr="004C4AD4" w:rsidRDefault="00B0331D" w:rsidP="00696463">
      <w:pPr>
        <w:widowControl w:val="0"/>
        <w:autoSpaceDE w:val="0"/>
        <w:autoSpaceDN w:val="0"/>
        <w:adjustRightInd w:val="0"/>
        <w:spacing w:line="360" w:lineRule="auto"/>
        <w:ind w:firstLine="708"/>
        <w:jc w:val="both"/>
        <w:rPr>
          <w:rFonts w:asciiTheme="majorBidi" w:hAnsiTheme="majorBidi" w:cstheme="majorBidi"/>
        </w:rPr>
      </w:pPr>
      <w:r w:rsidRPr="004C4AD4">
        <w:rPr>
          <w:rFonts w:asciiTheme="majorBidi" w:hAnsiTheme="majorBidi" w:cstheme="majorBidi"/>
        </w:rPr>
        <w:t xml:space="preserve">Fuat Sezgin </w:t>
      </w:r>
      <w:r w:rsidRPr="004C4AD4">
        <w:rPr>
          <w:rFonts w:asciiTheme="majorBidi" w:hAnsiTheme="majorBidi" w:cstheme="majorBidi"/>
          <w:i/>
          <w:iCs/>
        </w:rPr>
        <w:t>İslam’da Bilim ve Teknik</w:t>
      </w:r>
      <w:r w:rsidR="006D5A5D" w:rsidRPr="004C4AD4">
        <w:rPr>
          <w:rFonts w:asciiTheme="majorBidi" w:hAnsiTheme="majorBidi" w:cstheme="majorBidi"/>
        </w:rPr>
        <w:t xml:space="preserve"> eserinde </w:t>
      </w:r>
      <w:r w:rsidR="00FD4E2F" w:rsidRPr="004C4AD4">
        <w:rPr>
          <w:rFonts w:asciiTheme="majorBidi" w:hAnsiTheme="majorBidi" w:cstheme="majorBidi"/>
        </w:rPr>
        <w:t xml:space="preserve">her zaman olmasa da bazı bölümlerin başına Müslüman bilim adamlarından dikkat çekici </w:t>
      </w:r>
      <w:r w:rsidR="00696463">
        <w:rPr>
          <w:rFonts w:asciiTheme="majorBidi" w:hAnsiTheme="majorBidi" w:cstheme="majorBidi"/>
        </w:rPr>
        <w:t>ve b</w:t>
      </w:r>
      <w:r w:rsidR="00696463" w:rsidRPr="004C4AD4">
        <w:rPr>
          <w:rFonts w:asciiTheme="majorBidi" w:hAnsiTheme="majorBidi" w:cstheme="majorBidi"/>
        </w:rPr>
        <w:t>ilime duyulan aşk ve heyecan</w:t>
      </w:r>
      <w:r w:rsidR="00696463">
        <w:rPr>
          <w:rFonts w:asciiTheme="majorBidi" w:hAnsiTheme="majorBidi" w:cstheme="majorBidi"/>
        </w:rPr>
        <w:t>ın</w:t>
      </w:r>
      <w:r w:rsidR="00696463" w:rsidRPr="004C4AD4">
        <w:rPr>
          <w:rFonts w:asciiTheme="majorBidi" w:hAnsiTheme="majorBidi" w:cstheme="majorBidi"/>
        </w:rPr>
        <w:t xml:space="preserve"> </w:t>
      </w:r>
      <w:r w:rsidR="00696463">
        <w:rPr>
          <w:rFonts w:asciiTheme="majorBidi" w:hAnsiTheme="majorBidi" w:cstheme="majorBidi"/>
        </w:rPr>
        <w:t>ortak kesenleri olduğu</w:t>
      </w:r>
      <w:r w:rsidR="00696463" w:rsidRPr="004C4AD4">
        <w:rPr>
          <w:rFonts w:asciiTheme="majorBidi" w:hAnsiTheme="majorBidi" w:cstheme="majorBidi"/>
        </w:rPr>
        <w:t xml:space="preserve"> </w:t>
      </w:r>
      <w:r w:rsidR="00FD4E2F" w:rsidRPr="004C4AD4">
        <w:rPr>
          <w:rFonts w:asciiTheme="majorBidi" w:hAnsiTheme="majorBidi" w:cstheme="majorBidi"/>
        </w:rPr>
        <w:t>bir söz koymayı tercih eder. Bu bağlamda Astronomi bölümü için</w:t>
      </w:r>
      <w:r w:rsidR="00696463">
        <w:rPr>
          <w:rFonts w:asciiTheme="majorBidi" w:hAnsiTheme="majorBidi" w:cstheme="majorBidi"/>
        </w:rPr>
        <w:t xml:space="preserve"> İbn Heysem’den (ö. 432/1041), d</w:t>
      </w:r>
      <w:r w:rsidR="00FD4E2F" w:rsidRPr="004C4AD4">
        <w:rPr>
          <w:rFonts w:asciiTheme="majorBidi" w:hAnsiTheme="majorBidi" w:cstheme="majorBidi"/>
        </w:rPr>
        <w:t xml:space="preserve">enizcilik bölümü için İbn Mâcid’ten (ö. 9. yy/15. yy) ve tıp bölümü için İbn Rüşd’ten (ö. 595/1298) bir söze yer verir. Aynen bu şekilde, coğrafya bölümü için de Nazzâm’ın yukarıda verilen ve Câhız tarafından aktarılan sözünü motto bir özdeyiş olarak bölümün girişine koyar. </w:t>
      </w:r>
    </w:p>
    <w:p w14:paraId="0407CB73" w14:textId="7B17C7DE" w:rsidR="001C29A8" w:rsidRPr="004C4AD4" w:rsidRDefault="00616D17" w:rsidP="00352191">
      <w:pPr>
        <w:widowControl w:val="0"/>
        <w:autoSpaceDE w:val="0"/>
        <w:autoSpaceDN w:val="0"/>
        <w:adjustRightInd w:val="0"/>
        <w:spacing w:line="360" w:lineRule="auto"/>
        <w:ind w:firstLine="708"/>
        <w:jc w:val="both"/>
        <w:rPr>
          <w:rFonts w:asciiTheme="majorBidi" w:hAnsiTheme="majorBidi" w:cstheme="majorBidi"/>
        </w:rPr>
      </w:pPr>
      <w:r w:rsidRPr="004C4AD4">
        <w:rPr>
          <w:rFonts w:asciiTheme="majorBidi" w:hAnsiTheme="majorBidi" w:cstheme="majorBidi"/>
        </w:rPr>
        <w:t>Fuat Sezgin böyle bir tercihte bulunmakla muhtemelen Müslüman bilim adamlarını bilim yapmaya teşvik eden bilgisel ve psikolojik saiki vurgulamak istemeni</w:t>
      </w:r>
      <w:r w:rsidR="00352191" w:rsidRPr="004C4AD4">
        <w:rPr>
          <w:rFonts w:asciiTheme="majorBidi" w:hAnsiTheme="majorBidi" w:cstheme="majorBidi"/>
        </w:rPr>
        <w:t>n yanı sıra aslında kendi heyeca</w:t>
      </w:r>
      <w:r w:rsidRPr="004C4AD4">
        <w:rPr>
          <w:rFonts w:asciiTheme="majorBidi" w:hAnsiTheme="majorBidi" w:cstheme="majorBidi"/>
        </w:rPr>
        <w:t>nı</w:t>
      </w:r>
      <w:r w:rsidR="00352191" w:rsidRPr="004C4AD4">
        <w:rPr>
          <w:rFonts w:asciiTheme="majorBidi" w:hAnsiTheme="majorBidi" w:cstheme="majorBidi"/>
        </w:rPr>
        <w:t>nı</w:t>
      </w:r>
      <w:r w:rsidRPr="004C4AD4">
        <w:rPr>
          <w:rFonts w:asciiTheme="majorBidi" w:hAnsiTheme="majorBidi" w:cstheme="majorBidi"/>
        </w:rPr>
        <w:t xml:space="preserve"> </w:t>
      </w:r>
      <w:r w:rsidR="00696463">
        <w:rPr>
          <w:rFonts w:asciiTheme="majorBidi" w:hAnsiTheme="majorBidi" w:cstheme="majorBidi"/>
        </w:rPr>
        <w:t xml:space="preserve">da </w:t>
      </w:r>
      <w:r w:rsidRPr="004C4AD4">
        <w:rPr>
          <w:rFonts w:asciiTheme="majorBidi" w:hAnsiTheme="majorBidi" w:cstheme="majorBidi"/>
        </w:rPr>
        <w:t>ortaya koymaktadır. Zir</w:t>
      </w:r>
      <w:r w:rsidR="003E58ED">
        <w:rPr>
          <w:rFonts w:asciiTheme="majorBidi" w:hAnsiTheme="majorBidi" w:cstheme="majorBidi"/>
        </w:rPr>
        <w:t xml:space="preserve">a kabul edilir ki bir sözün </w:t>
      </w:r>
      <w:r w:rsidRPr="004C4AD4">
        <w:rPr>
          <w:rFonts w:asciiTheme="majorBidi" w:hAnsiTheme="majorBidi" w:cstheme="majorBidi"/>
        </w:rPr>
        <w:t xml:space="preserve">bir bölümün girişine tam </w:t>
      </w:r>
      <w:r w:rsidR="00696463">
        <w:rPr>
          <w:rFonts w:asciiTheme="majorBidi" w:hAnsiTheme="majorBidi" w:cstheme="majorBidi"/>
        </w:rPr>
        <w:t xml:space="preserve">da </w:t>
      </w:r>
      <w:r w:rsidRPr="004C4AD4">
        <w:rPr>
          <w:rFonts w:asciiTheme="majorBidi" w:hAnsiTheme="majorBidi" w:cstheme="majorBidi"/>
        </w:rPr>
        <w:t>bir sayfanın ortasına bir motto olarak konulması bir yazarın düşüncelerini harfler üzerine dizmesinden çok daha fazlasını ifade etmektedir. Başka bir ifadeyle bir motto sadece yazılı bir metin değildir, aynı zamanda görsel</w:t>
      </w:r>
      <w:r w:rsidR="001C29A8" w:rsidRPr="004C4AD4">
        <w:rPr>
          <w:rFonts w:asciiTheme="majorBidi" w:hAnsiTheme="majorBidi" w:cstheme="majorBidi"/>
        </w:rPr>
        <w:t>dirler</w:t>
      </w:r>
      <w:r w:rsidRPr="004C4AD4">
        <w:rPr>
          <w:rFonts w:asciiTheme="majorBidi" w:hAnsiTheme="majorBidi" w:cstheme="majorBidi"/>
        </w:rPr>
        <w:t xml:space="preserve"> ve metnin ana düşüncesine işaret edenden çok daha fazlasıdır. </w:t>
      </w:r>
      <w:r w:rsidR="001C29A8" w:rsidRPr="004C4AD4">
        <w:rPr>
          <w:rFonts w:asciiTheme="majorBidi" w:hAnsiTheme="majorBidi" w:cstheme="majorBidi"/>
        </w:rPr>
        <w:t>Mottolar okuyucusundan kendilerini vurgulu bir şekilde okumayı temenni ettikleri için görsel olmanın yanı sıra aynı zamanda duyumsaldırlar ve ritmik bir okuyuşa olanak verirler.</w:t>
      </w:r>
      <w:r w:rsidR="00352191" w:rsidRPr="004C4AD4">
        <w:rPr>
          <w:rFonts w:asciiTheme="majorBidi" w:hAnsiTheme="majorBidi" w:cstheme="majorBidi"/>
        </w:rPr>
        <w:t xml:space="preserve"> </w:t>
      </w:r>
      <w:r w:rsidR="001C29A8" w:rsidRPr="004C4AD4">
        <w:rPr>
          <w:rFonts w:asciiTheme="majorBidi" w:hAnsiTheme="majorBidi" w:cstheme="majorBidi"/>
        </w:rPr>
        <w:t>Motto</w:t>
      </w:r>
      <w:r w:rsidRPr="004C4AD4">
        <w:rPr>
          <w:rFonts w:asciiTheme="majorBidi" w:hAnsiTheme="majorBidi" w:cstheme="majorBidi"/>
        </w:rPr>
        <w:t xml:space="preserve">lar </w:t>
      </w:r>
      <w:r w:rsidR="001C29A8" w:rsidRPr="004C4AD4">
        <w:rPr>
          <w:rFonts w:asciiTheme="majorBidi" w:hAnsiTheme="majorBidi" w:cstheme="majorBidi"/>
        </w:rPr>
        <w:t>böylece bulunduğu mekan itibariyle tabii olarak he</w:t>
      </w:r>
      <w:r w:rsidR="00696463">
        <w:rPr>
          <w:rFonts w:asciiTheme="majorBidi" w:hAnsiTheme="majorBidi" w:cstheme="majorBidi"/>
        </w:rPr>
        <w:t>m</w:t>
      </w:r>
      <w:r w:rsidR="001C29A8" w:rsidRPr="004C4AD4">
        <w:rPr>
          <w:rFonts w:asciiTheme="majorBidi" w:hAnsiTheme="majorBidi" w:cstheme="majorBidi"/>
        </w:rPr>
        <w:t xml:space="preserve"> yazarın hem de okuyucunun duygularının değişmesini ve olayı</w:t>
      </w:r>
      <w:r w:rsidR="00696463">
        <w:rPr>
          <w:rFonts w:asciiTheme="majorBidi" w:hAnsiTheme="majorBidi" w:cstheme="majorBidi"/>
        </w:rPr>
        <w:t>n</w:t>
      </w:r>
      <w:r w:rsidR="001C29A8" w:rsidRPr="004C4AD4">
        <w:rPr>
          <w:rFonts w:asciiTheme="majorBidi" w:hAnsiTheme="majorBidi" w:cstheme="majorBidi"/>
        </w:rPr>
        <w:t xml:space="preserve"> tekrar yaşatılamasını sağlamak arzusunda olurlar. Zaten genelde mottoların teşvik ve duygu içerikli olmalarının nedenini </w:t>
      </w:r>
      <w:r w:rsidR="00696463">
        <w:rPr>
          <w:rFonts w:asciiTheme="majorBidi" w:hAnsiTheme="majorBidi" w:cstheme="majorBidi"/>
        </w:rPr>
        <w:t xml:space="preserve">de </w:t>
      </w:r>
      <w:r w:rsidR="001C29A8" w:rsidRPr="004C4AD4">
        <w:rPr>
          <w:rFonts w:asciiTheme="majorBidi" w:hAnsiTheme="majorBidi" w:cstheme="majorBidi"/>
        </w:rPr>
        <w:t>burada aramak gerekir.</w:t>
      </w:r>
    </w:p>
    <w:p w14:paraId="224C9752" w14:textId="275CF2A4" w:rsidR="00352191" w:rsidRPr="004C4AD4" w:rsidRDefault="00352191" w:rsidP="00352191">
      <w:pPr>
        <w:widowControl w:val="0"/>
        <w:autoSpaceDE w:val="0"/>
        <w:autoSpaceDN w:val="0"/>
        <w:adjustRightInd w:val="0"/>
        <w:spacing w:line="360" w:lineRule="auto"/>
        <w:ind w:firstLine="708"/>
        <w:jc w:val="both"/>
        <w:rPr>
          <w:rFonts w:asciiTheme="majorBidi" w:hAnsiTheme="majorBidi" w:cstheme="majorBidi"/>
          <w:iCs/>
        </w:rPr>
      </w:pPr>
      <w:r w:rsidRPr="004C4AD4">
        <w:rPr>
          <w:rFonts w:asciiTheme="majorBidi" w:hAnsiTheme="majorBidi" w:cstheme="majorBidi"/>
        </w:rPr>
        <w:lastRenderedPageBreak/>
        <w:t xml:space="preserve">Yukarıdaki alıntıyı bir motto olarak vermek açısından Fuat Sezgin yalnız değildir. </w:t>
      </w:r>
      <w:r w:rsidR="004C4AD4" w:rsidRPr="004C4AD4">
        <w:rPr>
          <w:rFonts w:asciiTheme="majorBidi" w:hAnsiTheme="majorBidi" w:cstheme="majorBidi"/>
        </w:rPr>
        <w:t xml:space="preserve">İslam düşüncesinde bilginin gelişim seyrini ortaya koymak gayesiyle </w:t>
      </w:r>
      <w:r w:rsidR="004C4AD4">
        <w:rPr>
          <w:rFonts w:asciiTheme="majorBidi" w:hAnsiTheme="majorBidi" w:cstheme="majorBidi"/>
        </w:rPr>
        <w:t>Franz</w:t>
      </w:r>
      <w:r w:rsidR="004C4AD4" w:rsidRPr="004C4AD4">
        <w:rPr>
          <w:rFonts w:asciiTheme="majorBidi" w:hAnsiTheme="majorBidi" w:cstheme="majorBidi"/>
        </w:rPr>
        <w:t xml:space="preserve"> </w:t>
      </w:r>
      <w:r w:rsidR="004C4AD4" w:rsidRPr="004C4AD4">
        <w:rPr>
          <w:rFonts w:asciiTheme="majorBidi" w:hAnsiTheme="majorBidi" w:cstheme="majorBidi"/>
          <w:sz w:val="22"/>
          <w:szCs w:val="22"/>
        </w:rPr>
        <w:t>Rosenthal</w:t>
      </w:r>
      <w:r w:rsidR="004C4AD4" w:rsidRPr="004C4AD4">
        <w:rPr>
          <w:rFonts w:asciiTheme="majorBidi" w:hAnsiTheme="majorBidi" w:cstheme="majorBidi"/>
          <w:i/>
          <w:sz w:val="22"/>
          <w:szCs w:val="22"/>
        </w:rPr>
        <w:t xml:space="preserve"> </w:t>
      </w:r>
      <w:r w:rsidR="004C4AD4">
        <w:rPr>
          <w:rFonts w:asciiTheme="majorBidi" w:hAnsiTheme="majorBidi" w:cstheme="majorBidi"/>
          <w:iCs/>
          <w:sz w:val="22"/>
          <w:szCs w:val="22"/>
        </w:rPr>
        <w:t xml:space="preserve">tarafından hazırlanan </w:t>
      </w:r>
      <w:r w:rsidR="004C4AD4" w:rsidRPr="004C4AD4">
        <w:rPr>
          <w:rFonts w:asciiTheme="majorBidi" w:hAnsiTheme="majorBidi" w:cstheme="majorBidi"/>
          <w:i/>
          <w:sz w:val="22"/>
          <w:szCs w:val="22"/>
        </w:rPr>
        <w:t>Knowledge Triumphant</w:t>
      </w:r>
      <w:r w:rsidR="004C4AD4">
        <w:rPr>
          <w:rFonts w:asciiTheme="majorBidi" w:hAnsiTheme="majorBidi" w:cstheme="majorBidi"/>
          <w:iCs/>
          <w:sz w:val="22"/>
          <w:szCs w:val="22"/>
        </w:rPr>
        <w:t xml:space="preserve"> eserinde de (Bu eser Sezgin’in eserinden önce yazılmıştır) kitabın başına konulur. Se</w:t>
      </w:r>
      <w:r w:rsidR="003F28F9">
        <w:rPr>
          <w:rFonts w:asciiTheme="majorBidi" w:hAnsiTheme="majorBidi" w:cstheme="majorBidi"/>
          <w:iCs/>
          <w:sz w:val="22"/>
          <w:szCs w:val="22"/>
        </w:rPr>
        <w:t>z</w:t>
      </w:r>
      <w:r w:rsidR="004C4AD4">
        <w:rPr>
          <w:rFonts w:asciiTheme="majorBidi" w:hAnsiTheme="majorBidi" w:cstheme="majorBidi"/>
          <w:iCs/>
          <w:sz w:val="22"/>
          <w:szCs w:val="22"/>
        </w:rPr>
        <w:t>gin’den farklı olarak Rosent</w:t>
      </w:r>
      <w:r w:rsidR="00696463">
        <w:rPr>
          <w:rFonts w:asciiTheme="majorBidi" w:hAnsiTheme="majorBidi" w:cstheme="majorBidi"/>
          <w:iCs/>
          <w:sz w:val="22"/>
          <w:szCs w:val="22"/>
        </w:rPr>
        <w:t xml:space="preserve">hal, bu mottonun hem Arapçasını ve farklı okuma şekillerini hem de hangi eserlerde geçtiğini </w:t>
      </w:r>
      <w:r w:rsidR="004C4AD4">
        <w:rPr>
          <w:rFonts w:asciiTheme="majorBidi" w:hAnsiTheme="majorBidi" w:cstheme="majorBidi"/>
          <w:iCs/>
          <w:sz w:val="22"/>
          <w:szCs w:val="22"/>
        </w:rPr>
        <w:t>dip</w:t>
      </w:r>
      <w:r w:rsidR="00696463">
        <w:rPr>
          <w:rFonts w:asciiTheme="majorBidi" w:hAnsiTheme="majorBidi" w:cstheme="majorBidi"/>
          <w:iCs/>
          <w:sz w:val="22"/>
          <w:szCs w:val="22"/>
        </w:rPr>
        <w:t>notta vermeyi ihmal etmez. Nazzâ</w:t>
      </w:r>
      <w:r w:rsidR="004C4AD4">
        <w:rPr>
          <w:rFonts w:asciiTheme="majorBidi" w:hAnsiTheme="majorBidi" w:cstheme="majorBidi"/>
          <w:iCs/>
          <w:sz w:val="22"/>
          <w:szCs w:val="22"/>
        </w:rPr>
        <w:t>m’ın eserleri günümüze ulaşmadığı için bu mottoyu onun eserlerinde bulmak olanaksız olarak durmaktadır. An</w:t>
      </w:r>
      <w:r w:rsidR="00696463">
        <w:rPr>
          <w:rFonts w:asciiTheme="majorBidi" w:hAnsiTheme="majorBidi" w:cstheme="majorBidi"/>
          <w:iCs/>
          <w:sz w:val="22"/>
          <w:szCs w:val="22"/>
        </w:rPr>
        <w:t>cak düşüncelerini önemli oranda</w:t>
      </w:r>
      <w:r w:rsidR="004C4AD4">
        <w:rPr>
          <w:rFonts w:asciiTheme="majorBidi" w:hAnsiTheme="majorBidi" w:cstheme="majorBidi"/>
          <w:iCs/>
          <w:sz w:val="22"/>
          <w:szCs w:val="22"/>
        </w:rPr>
        <w:t xml:space="preserve"> kendisinden öğrendiğimiz Câhız’ın eserlerinde her ne kadar bu sözü çağrıştıracak ifadeler varsa da bu met</w:t>
      </w:r>
      <w:r w:rsidR="00696463">
        <w:rPr>
          <w:rFonts w:asciiTheme="majorBidi" w:hAnsiTheme="majorBidi" w:cstheme="majorBidi"/>
          <w:iCs/>
          <w:sz w:val="22"/>
          <w:szCs w:val="22"/>
        </w:rPr>
        <w:t>in</w:t>
      </w:r>
      <w:r w:rsidR="004C4AD4">
        <w:rPr>
          <w:rFonts w:asciiTheme="majorBidi" w:hAnsiTheme="majorBidi" w:cstheme="majorBidi"/>
          <w:iCs/>
          <w:sz w:val="22"/>
          <w:szCs w:val="22"/>
        </w:rPr>
        <w:t xml:space="preserve"> aynısıyla onun eserlerinde yer almaz. Rosenthal’ın işaret ettiği gibi, </w:t>
      </w:r>
      <w:r w:rsidR="00831CE1">
        <w:rPr>
          <w:rFonts w:asciiTheme="majorBidi" w:hAnsiTheme="majorBidi" w:cstheme="majorBidi"/>
          <w:iCs/>
          <w:sz w:val="22"/>
          <w:szCs w:val="22"/>
        </w:rPr>
        <w:t>daha sonr</w:t>
      </w:r>
      <w:r w:rsidR="00696463">
        <w:rPr>
          <w:rFonts w:asciiTheme="majorBidi" w:hAnsiTheme="majorBidi" w:cstheme="majorBidi"/>
          <w:iCs/>
          <w:sz w:val="22"/>
          <w:szCs w:val="22"/>
        </w:rPr>
        <w:t>a kaleme alınan birçok eserde Câ</w:t>
      </w:r>
      <w:r w:rsidR="00831CE1">
        <w:rPr>
          <w:rFonts w:asciiTheme="majorBidi" w:hAnsiTheme="majorBidi" w:cstheme="majorBidi"/>
          <w:iCs/>
          <w:sz w:val="22"/>
          <w:szCs w:val="22"/>
        </w:rPr>
        <w:t>hız’ın aktarımına işaret etmek suretiyle Nazzâm’a nispet edilerek bu metin verilmektedir.</w:t>
      </w:r>
      <w:r w:rsidR="004C4AD4">
        <w:rPr>
          <w:rFonts w:asciiTheme="majorBidi" w:hAnsiTheme="majorBidi" w:cstheme="majorBidi"/>
          <w:iCs/>
          <w:sz w:val="22"/>
          <w:szCs w:val="22"/>
        </w:rPr>
        <w:t xml:space="preserve"> </w:t>
      </w:r>
    </w:p>
    <w:p w14:paraId="40E279E3" w14:textId="4E4F7125" w:rsidR="00831CE1" w:rsidRDefault="001C29A8" w:rsidP="00861580">
      <w:pPr>
        <w:widowControl w:val="0"/>
        <w:autoSpaceDE w:val="0"/>
        <w:autoSpaceDN w:val="0"/>
        <w:adjustRightInd w:val="0"/>
        <w:spacing w:line="360" w:lineRule="auto"/>
        <w:jc w:val="both"/>
        <w:rPr>
          <w:rFonts w:asciiTheme="majorBidi" w:hAnsiTheme="majorBidi" w:cstheme="majorBidi"/>
        </w:rPr>
      </w:pPr>
      <w:r w:rsidRPr="004C4AD4">
        <w:rPr>
          <w:rFonts w:asciiTheme="majorBidi" w:hAnsiTheme="majorBidi" w:cstheme="majorBidi"/>
        </w:rPr>
        <w:tab/>
        <w:t>Bu çalışma</w:t>
      </w:r>
      <w:r w:rsidR="00FE3DBA" w:rsidRPr="004C4AD4">
        <w:rPr>
          <w:rFonts w:asciiTheme="majorBidi" w:hAnsiTheme="majorBidi" w:cstheme="majorBidi"/>
        </w:rPr>
        <w:t xml:space="preserve">da </w:t>
      </w:r>
      <w:r w:rsidR="00352191" w:rsidRPr="004C4AD4">
        <w:rPr>
          <w:rFonts w:asciiTheme="majorBidi" w:hAnsiTheme="majorBidi" w:cstheme="majorBidi"/>
        </w:rPr>
        <w:t>yukarıda verdiğimiz metnin hem tarihsel bağlamdaki karşılığını hem de sözün sahi</w:t>
      </w:r>
      <w:r w:rsidR="00831CE1">
        <w:rPr>
          <w:rFonts w:asciiTheme="majorBidi" w:hAnsiTheme="majorBidi" w:cstheme="majorBidi"/>
        </w:rPr>
        <w:t>bi olan Na</w:t>
      </w:r>
      <w:r w:rsidR="00696463">
        <w:rPr>
          <w:rFonts w:asciiTheme="majorBidi" w:hAnsiTheme="majorBidi" w:cstheme="majorBidi"/>
        </w:rPr>
        <w:t>z</w:t>
      </w:r>
      <w:r w:rsidR="00831CE1">
        <w:rPr>
          <w:rFonts w:asciiTheme="majorBidi" w:hAnsiTheme="majorBidi" w:cstheme="majorBidi"/>
        </w:rPr>
        <w:t>zâm ve onun takipçisi ve</w:t>
      </w:r>
      <w:r w:rsidR="00352191" w:rsidRPr="004C4AD4">
        <w:rPr>
          <w:rFonts w:asciiTheme="majorBidi" w:hAnsiTheme="majorBidi" w:cstheme="majorBidi"/>
        </w:rPr>
        <w:t xml:space="preserve"> aktarımcısı Câhız’ın düşüncesindeki karşılığını ele almak istiyoruz.</w:t>
      </w:r>
      <w:r w:rsidR="00696463">
        <w:rPr>
          <w:rFonts w:asciiTheme="majorBidi" w:hAnsiTheme="majorBidi" w:cstheme="majorBidi"/>
        </w:rPr>
        <w:t xml:space="preserve"> Böylece b</w:t>
      </w:r>
      <w:r w:rsidR="00831CE1">
        <w:rPr>
          <w:rFonts w:asciiTheme="majorBidi" w:hAnsiTheme="majorBidi" w:cstheme="majorBidi"/>
        </w:rPr>
        <w:t>u sözün bir slogan olmanın da ötesinde Nazzâm ve Câhız’ın zihin felsefesi açısından tutarlı bir karşılığı olduğunu ortaya koymaya niyetindeyiz.</w:t>
      </w:r>
      <w:r w:rsidR="00696463">
        <w:rPr>
          <w:rFonts w:asciiTheme="majorBidi" w:hAnsiTheme="majorBidi" w:cstheme="majorBidi"/>
        </w:rPr>
        <w:t xml:space="preserve"> Bunu yaparken açıkçası Câhız ve Nazzâm’ı çok da birbirinden ayırt etme niyetinde değiliz. Çünkü Câhız’ın bir aktarımcı olarak Nâzzâm’la </w:t>
      </w:r>
      <w:r w:rsidR="00861580">
        <w:rPr>
          <w:rFonts w:asciiTheme="majorBidi" w:hAnsiTheme="majorBidi" w:cstheme="majorBidi"/>
        </w:rPr>
        <w:t>ilişkisi sözü salt aktaran bir mevkide değildir. Genel olarak sözü yeniden üreten ve formüle eden bir konumdadır. Hatta çoğu zaman Nazzâm’la olan ilişkisi Platon ve Socrates arasındaki ilişki</w:t>
      </w:r>
      <w:r w:rsidR="00696463">
        <w:rPr>
          <w:rFonts w:asciiTheme="majorBidi" w:hAnsiTheme="majorBidi" w:cstheme="majorBidi"/>
        </w:rPr>
        <w:t xml:space="preserve"> </w:t>
      </w:r>
      <w:r w:rsidR="00861580">
        <w:rPr>
          <w:rFonts w:asciiTheme="majorBidi" w:hAnsiTheme="majorBidi" w:cstheme="majorBidi"/>
        </w:rPr>
        <w:t xml:space="preserve">gibi görünmektedir. Dolayısıyla konu edindiğimiz mottonun sahibi Nazzâm olsa da onun aynı zamanda Câhız tarafında da paylaşıldığını hatta belki de tekrar formüle edildiğini tahmin edebiliriz. </w:t>
      </w:r>
    </w:p>
    <w:p w14:paraId="613305D2" w14:textId="77777777" w:rsidR="007301AD" w:rsidRPr="007301AD" w:rsidRDefault="007301AD" w:rsidP="00831CE1">
      <w:pPr>
        <w:widowControl w:val="0"/>
        <w:autoSpaceDE w:val="0"/>
        <w:autoSpaceDN w:val="0"/>
        <w:adjustRightInd w:val="0"/>
        <w:spacing w:line="360" w:lineRule="auto"/>
        <w:jc w:val="both"/>
        <w:rPr>
          <w:rFonts w:asciiTheme="majorBidi" w:hAnsiTheme="majorBidi" w:cstheme="majorBidi"/>
          <w:b/>
          <w:bCs/>
        </w:rPr>
      </w:pPr>
      <w:r>
        <w:rPr>
          <w:rFonts w:asciiTheme="majorBidi" w:hAnsiTheme="majorBidi" w:cstheme="majorBidi"/>
        </w:rPr>
        <w:tab/>
      </w:r>
      <w:r w:rsidRPr="007301AD">
        <w:rPr>
          <w:rFonts w:asciiTheme="majorBidi" w:hAnsiTheme="majorBidi" w:cstheme="majorBidi"/>
          <w:b/>
          <w:bCs/>
        </w:rPr>
        <w:t>9. Yüzüncü Yılda Müslümanların Bilgi Toplumunun Şizoanalizi</w:t>
      </w:r>
    </w:p>
    <w:p w14:paraId="110DA78D" w14:textId="135D7A90" w:rsidR="007301AD" w:rsidRDefault="00861580" w:rsidP="00861580">
      <w:pPr>
        <w:widowControl w:val="0"/>
        <w:autoSpaceDE w:val="0"/>
        <w:autoSpaceDN w:val="0"/>
        <w:adjustRightInd w:val="0"/>
        <w:spacing w:line="360" w:lineRule="auto"/>
        <w:jc w:val="both"/>
        <w:rPr>
          <w:rFonts w:asciiTheme="majorBidi" w:hAnsiTheme="majorBidi" w:cstheme="majorBidi"/>
        </w:rPr>
      </w:pPr>
      <w:r>
        <w:rPr>
          <w:rFonts w:asciiTheme="majorBidi" w:hAnsiTheme="majorBidi" w:cstheme="majorBidi"/>
        </w:rPr>
        <w:t xml:space="preserve"> </w:t>
      </w:r>
      <w:r>
        <w:rPr>
          <w:rFonts w:asciiTheme="majorBidi" w:hAnsiTheme="majorBidi" w:cstheme="majorBidi"/>
        </w:rPr>
        <w:tab/>
        <w:t>Nazzâm’a ait yukarıdaki mottonun</w:t>
      </w:r>
      <w:r w:rsidR="007301AD">
        <w:rPr>
          <w:rFonts w:asciiTheme="majorBidi" w:hAnsiTheme="majorBidi" w:cstheme="majorBidi"/>
        </w:rPr>
        <w:t xml:space="preserve"> </w:t>
      </w:r>
      <w:r>
        <w:rPr>
          <w:rFonts w:asciiTheme="majorBidi" w:hAnsiTheme="majorBidi" w:cstheme="majorBidi"/>
        </w:rPr>
        <w:t>arkasında</w:t>
      </w:r>
      <w:r w:rsidR="007301AD">
        <w:rPr>
          <w:rFonts w:asciiTheme="majorBidi" w:hAnsiTheme="majorBidi" w:cstheme="majorBidi"/>
        </w:rPr>
        <w:t xml:space="preserve"> edebiyattaki âşık-maşuk ilişkisi bizlere gülümser gibi davranmaktadır. Çünkü bu mottoda bilen ve bilgi ilişkisi âşık kişiliği üzerinden bizlere verilmektedir. Arap edebiyatında yaygınlıkla karşılaştığımız üzere, âşık ne kadar çabalarsa çabalasın maşuku temellük edemeyeceğinin farkındadır, ya da öyle bir niyeti de yoktur. Ancak tüm çabalarına rağmen maşuktan gelecek bir göz imasını </w:t>
      </w:r>
      <w:r>
        <w:rPr>
          <w:rFonts w:asciiTheme="majorBidi" w:hAnsiTheme="majorBidi" w:cstheme="majorBidi"/>
        </w:rPr>
        <w:t xml:space="preserve">ya da her hangi bir jest ve mimiği </w:t>
      </w:r>
      <w:r w:rsidR="007301AD">
        <w:rPr>
          <w:rFonts w:asciiTheme="majorBidi" w:hAnsiTheme="majorBidi" w:cstheme="majorBidi"/>
        </w:rPr>
        <w:t>tüm yaptıklarının karşılığı olarak yeterli görür, hatta bunun bile olacağından emin olmasa da çabasına devam eder. Dolayısıyla motto bir ilim aşkı içeri</w:t>
      </w:r>
      <w:r>
        <w:rPr>
          <w:rFonts w:asciiTheme="majorBidi" w:hAnsiTheme="majorBidi" w:cstheme="majorBidi"/>
        </w:rPr>
        <w:t>ğini fazlasıyla hak etmektedir.</w:t>
      </w:r>
    </w:p>
    <w:p w14:paraId="043392F9" w14:textId="53A0E9A3" w:rsidR="00861580" w:rsidRDefault="00861580" w:rsidP="00A73D52">
      <w:pPr>
        <w:widowControl w:val="0"/>
        <w:autoSpaceDE w:val="0"/>
        <w:autoSpaceDN w:val="0"/>
        <w:adjustRightInd w:val="0"/>
        <w:spacing w:line="360" w:lineRule="auto"/>
        <w:jc w:val="both"/>
        <w:rPr>
          <w:rFonts w:asciiTheme="majorBidi" w:hAnsiTheme="majorBidi" w:cstheme="majorBidi"/>
        </w:rPr>
      </w:pPr>
      <w:r>
        <w:rPr>
          <w:rFonts w:asciiTheme="majorBidi" w:hAnsiTheme="majorBidi" w:cstheme="majorBidi"/>
        </w:rPr>
        <w:tab/>
        <w:t>Bu sözün sahipleri olarak Nazzâm ve Câhız’ın entelektüel hayatını düşündüğümüzde bu mottonun sahiplerine ilim aşkını nispet etmenin yerinde olduğunu söyleyebiliriz.</w:t>
      </w:r>
      <w:r w:rsidR="00041594">
        <w:rPr>
          <w:rFonts w:asciiTheme="majorBidi" w:hAnsiTheme="majorBidi" w:cstheme="majorBidi"/>
        </w:rPr>
        <w:t xml:space="preserve"> Basra’da doğan sonraları Bağdat’a yerleşen ve sarayın gözde entelektüeli olan Nazzâm’ın günümüze kadar hiçbiri ulaşmayan </w:t>
      </w:r>
      <w:r w:rsidR="004F2CF5">
        <w:rPr>
          <w:rFonts w:asciiTheme="majorBidi" w:hAnsiTheme="majorBidi" w:cstheme="majorBidi"/>
        </w:rPr>
        <w:t>kırk kadar eseri vardır. İlim meclislerden eksik olmadığını düşündüğümüzde özellikle de bir gece vakti yalnız başına bir su kenarınd</w:t>
      </w:r>
      <w:r w:rsidR="00A73D52">
        <w:rPr>
          <w:rFonts w:asciiTheme="majorBidi" w:hAnsiTheme="majorBidi" w:cstheme="majorBidi"/>
        </w:rPr>
        <w:t>a cisimlerin sonsuza değin</w:t>
      </w:r>
      <w:r w:rsidR="004F2CF5">
        <w:rPr>
          <w:rFonts w:asciiTheme="majorBidi" w:hAnsiTheme="majorBidi" w:cstheme="majorBidi"/>
        </w:rPr>
        <w:t xml:space="preserve"> tecezzi kabul edip etmeyeceğini soruşturduğunu düşündüğümüzde ilim aşkını ona nispet etmek doğru bir saptama olur.</w:t>
      </w:r>
      <w:r w:rsidR="00A73D52">
        <w:rPr>
          <w:rStyle w:val="DipnotBavurusu"/>
          <w:rFonts w:asciiTheme="majorBidi" w:hAnsiTheme="majorBidi" w:cstheme="majorBidi"/>
        </w:rPr>
        <w:footnoteReference w:id="3"/>
      </w:r>
      <w:r w:rsidR="004F2CF5">
        <w:rPr>
          <w:rFonts w:asciiTheme="majorBidi" w:hAnsiTheme="majorBidi" w:cstheme="majorBidi"/>
        </w:rPr>
        <w:t xml:space="preserve"> Câhız ise Nazzâm’a benzer şekilde bir hayatı olan Basra’da doğan ve Bağdat’ta saray çevresinde olan Nazzâm’ın öğrencisi olup yaklaşık 200 kadar eseri vardır.</w:t>
      </w:r>
      <w:r w:rsidR="00A73D52">
        <w:rPr>
          <w:rStyle w:val="DipnotBavurusu"/>
          <w:rFonts w:asciiTheme="majorBidi" w:hAnsiTheme="majorBidi" w:cstheme="majorBidi"/>
        </w:rPr>
        <w:footnoteReference w:id="4"/>
      </w:r>
      <w:r w:rsidR="004F2CF5">
        <w:rPr>
          <w:rFonts w:asciiTheme="majorBidi" w:hAnsiTheme="majorBidi" w:cstheme="majorBidi"/>
        </w:rPr>
        <w:t xml:space="preserve"> Onun ilme ve kitaba duyduğu aşkla ilgili bir çok anekdot aktarılmıştır. Geceleri kitapçı dükkanını kiralamasından tutunda kitaplar altında can vermesine kadar kitap sevdasıyla ilgili hikaye ona atfedilir. Bunların doğru olup olması bir tarafa, ona bu öykülerin yakıştırılmış olması bile onun ilim aşkını fazlasıyla ortaya koymaktadır.</w:t>
      </w:r>
      <w:r w:rsidR="00041594">
        <w:rPr>
          <w:rFonts w:asciiTheme="majorBidi" w:hAnsiTheme="majorBidi" w:cstheme="majorBidi"/>
        </w:rPr>
        <w:t xml:space="preserve"> </w:t>
      </w:r>
    </w:p>
    <w:p w14:paraId="7FBBEE3A" w14:textId="60B9373E" w:rsidR="00BD6A25" w:rsidRDefault="007301AD" w:rsidP="00A73D52">
      <w:pPr>
        <w:widowControl w:val="0"/>
        <w:autoSpaceDE w:val="0"/>
        <w:autoSpaceDN w:val="0"/>
        <w:adjustRightInd w:val="0"/>
        <w:spacing w:line="360" w:lineRule="auto"/>
        <w:jc w:val="both"/>
        <w:rPr>
          <w:rFonts w:asciiTheme="majorBidi" w:hAnsiTheme="majorBidi" w:cstheme="majorBidi"/>
        </w:rPr>
      </w:pPr>
      <w:r>
        <w:rPr>
          <w:rFonts w:asciiTheme="majorBidi" w:hAnsiTheme="majorBidi" w:cstheme="majorBidi"/>
        </w:rPr>
        <w:tab/>
        <w:t>Nazzâm’</w:t>
      </w:r>
      <w:r w:rsidR="00BD6A25">
        <w:rPr>
          <w:rFonts w:asciiTheme="majorBidi" w:hAnsiTheme="majorBidi" w:cstheme="majorBidi"/>
        </w:rPr>
        <w:t>ın bu yaklaşımı daha sonraki dönemlerdeki metafizik paradigmalarla çok da uyumlu değildir. Çünkü bu dönemlerde hem kelâmcılar için hem de felsefeciler için bilme arzusunun kökeninde kemal haliyle</w:t>
      </w:r>
      <w:r w:rsidR="003E58ED">
        <w:rPr>
          <w:rFonts w:asciiTheme="majorBidi" w:hAnsiTheme="majorBidi" w:cstheme="majorBidi"/>
        </w:rPr>
        <w:t xml:space="preserve"> bilgiyi elde etmektir</w:t>
      </w:r>
      <w:r w:rsidR="00BD6A25">
        <w:rPr>
          <w:rFonts w:asciiTheme="majorBidi" w:hAnsiTheme="majorBidi" w:cstheme="majorBidi"/>
        </w:rPr>
        <w:t>. Bu dönemlerin metodolojisinin Aristoteles mantığı olduğunu düşünürsek, önermelerin kuruluşu bir sonuç elde etmekten başka bir gaye için düzenlenmez. Yapılacak işlem bellidir hem şeklen hem de içerik olarak öncülleri doğru bir şekilde kurmaktan başka bir şey değildir.</w:t>
      </w:r>
      <w:r w:rsidR="00A73D52">
        <w:rPr>
          <w:rFonts w:asciiTheme="majorBidi" w:hAnsiTheme="majorBidi" w:cstheme="majorBidi"/>
        </w:rPr>
        <w:t xml:space="preserve"> </w:t>
      </w:r>
      <w:r w:rsidR="00BD6A25">
        <w:rPr>
          <w:rFonts w:asciiTheme="majorBidi" w:hAnsiTheme="majorBidi" w:cstheme="majorBidi"/>
        </w:rPr>
        <w:t>Klasiğin sonraki dönemlerinde bilme arzusunun olmadığını söylemek istemiyoruz. Meydana getirilen onca birikimin elbette bir bilme arzusu temeli vardır. Ancak erken ve geç klasik dönemler arasındaki bilme arzusunun farklı bir bilince, bilinçdışına ve toplumsallığa sahip olduğunu belirtmek niyetindeyiz. Bize düşen bu ayrımın ya da klasik dönemdeki bilme arzusunun şizoanalizini yapmak ve bu arzuyu aşk derecesine yükselten ilişkiler üzerine yoğunlaşmaktır.</w:t>
      </w:r>
    </w:p>
    <w:p w14:paraId="722566E9" w14:textId="68949953" w:rsidR="00BD6A25" w:rsidRDefault="00BD6A25" w:rsidP="00265966">
      <w:pPr>
        <w:widowControl w:val="0"/>
        <w:autoSpaceDE w:val="0"/>
        <w:autoSpaceDN w:val="0"/>
        <w:adjustRightInd w:val="0"/>
        <w:spacing w:line="360" w:lineRule="auto"/>
        <w:jc w:val="both"/>
        <w:rPr>
          <w:rFonts w:asciiTheme="majorBidi" w:hAnsiTheme="majorBidi" w:cstheme="majorBidi"/>
        </w:rPr>
      </w:pPr>
      <w:r>
        <w:rPr>
          <w:rFonts w:asciiTheme="majorBidi" w:hAnsiTheme="majorBidi" w:cstheme="majorBidi"/>
        </w:rPr>
        <w:tab/>
        <w:t>Erken klasik dönemdeki bilim/düşünce insanlarını ele alan her hangi bir makâlât eserine</w:t>
      </w:r>
      <w:r w:rsidR="00432C88">
        <w:rPr>
          <w:rFonts w:asciiTheme="majorBidi" w:hAnsiTheme="majorBidi" w:cstheme="majorBidi"/>
        </w:rPr>
        <w:t xml:space="preserve"> bakıldığında, aynı ekol içerisinde olsalar bile her birinin farklı bir telden çaldığını ve ekol içi tartışmaların hat safhada olduğunu görmemek elde değil. 9. yüzyılın belirli bir aralığında, sadece Basra’da tartışılan herhangi bir konunun, sözgelimi doğa ve insan tanımlarının, serimlenmesi bile onlarca fazla sayılabilecek bir yekun teşkil edecek şekilde farklı</w:t>
      </w:r>
      <w:r w:rsidR="00265966">
        <w:rPr>
          <w:rFonts w:asciiTheme="majorBidi" w:hAnsiTheme="majorBidi" w:cstheme="majorBidi"/>
        </w:rPr>
        <w:t xml:space="preserve"> görüşlerin ileri sürüldüğünün ortaya konulduğunu söylemeye yetecektir.</w:t>
      </w:r>
      <w:r w:rsidR="00A73D52">
        <w:rPr>
          <w:rStyle w:val="DipnotBavurusu"/>
          <w:rFonts w:asciiTheme="majorBidi" w:hAnsiTheme="majorBidi" w:cstheme="majorBidi"/>
        </w:rPr>
        <w:footnoteReference w:id="5"/>
      </w:r>
      <w:r w:rsidR="00265966">
        <w:rPr>
          <w:rFonts w:asciiTheme="majorBidi" w:hAnsiTheme="majorBidi" w:cstheme="majorBidi"/>
        </w:rPr>
        <w:t xml:space="preserve"> Örneğin aynı ekol içerinde olmasına rağmen, dayı ve yeğen olan Ebu’l-Hüzeyl ile Nazzâm’ın gündüzleyin başlayan ve gece geç saatlere kadar devam eden tartışmalarını duymayan kalmamıştır. Bu farklılıkların ve tartışmaların birincil etkeni karşı tarafı mat etmek olarak yorumlamak da basite kaçmak olacaktır. Nitekim iki dost olan ve yaptıkları entelektüel sohbetlerinden ve samimiyetlerden haberdar olduğumuz Nazzâm ve Muammer b. Abbâd’ın birbirlerine reddiyeleri de malumdur. Nitekim Muammer’in mana teorine karşı Nazzâm’ın kaleme aldığı eser, bilme ve farklılaşma saikinin, karşı tarafı alt etmede yatmadığını ve bunun nedenini başka yerlerde aramak gerektiğini göstermektedir.</w:t>
      </w:r>
    </w:p>
    <w:p w14:paraId="434E2AAB" w14:textId="0165CD8D" w:rsidR="00E323B9" w:rsidRDefault="00964118" w:rsidP="00265966">
      <w:pPr>
        <w:widowControl w:val="0"/>
        <w:autoSpaceDE w:val="0"/>
        <w:autoSpaceDN w:val="0"/>
        <w:adjustRightInd w:val="0"/>
        <w:spacing w:line="360" w:lineRule="auto"/>
        <w:jc w:val="both"/>
        <w:rPr>
          <w:rFonts w:asciiTheme="majorBidi" w:hAnsiTheme="majorBidi" w:cstheme="majorBidi"/>
        </w:rPr>
      </w:pPr>
      <w:r>
        <w:rPr>
          <w:rFonts w:asciiTheme="majorBidi" w:hAnsiTheme="majorBidi" w:cstheme="majorBidi"/>
        </w:rPr>
        <w:tab/>
      </w:r>
      <w:r w:rsidR="00447DB0">
        <w:rPr>
          <w:rFonts w:asciiTheme="majorBidi" w:hAnsiTheme="majorBidi" w:cstheme="majorBidi"/>
        </w:rPr>
        <w:t xml:space="preserve">Müslümanların erken klasik dönemindeki ilim arzusunu ifade eden veriler bundan ibaret değildir. Hummalı tercüme hareketi, geceleyin </w:t>
      </w:r>
      <w:r w:rsidR="00AB68F1">
        <w:rPr>
          <w:rFonts w:asciiTheme="majorBidi" w:hAnsiTheme="majorBidi" w:cstheme="majorBidi"/>
        </w:rPr>
        <w:t>sivil ortamlarda yapıla</w:t>
      </w:r>
      <w:r w:rsidR="00691AA4">
        <w:rPr>
          <w:rFonts w:asciiTheme="majorBidi" w:hAnsiTheme="majorBidi" w:cstheme="majorBidi"/>
        </w:rPr>
        <w:t xml:space="preserve">nın yanı sıra, halife </w:t>
      </w:r>
      <w:r w:rsidR="00AB68F1">
        <w:rPr>
          <w:rFonts w:asciiTheme="majorBidi" w:hAnsiTheme="majorBidi" w:cstheme="majorBidi"/>
        </w:rPr>
        <w:t xml:space="preserve">veya </w:t>
      </w:r>
      <w:r w:rsidR="00A1304E">
        <w:rPr>
          <w:rFonts w:asciiTheme="majorBidi" w:hAnsiTheme="majorBidi" w:cstheme="majorBidi"/>
        </w:rPr>
        <w:t>vali hu</w:t>
      </w:r>
      <w:r w:rsidR="00691AA4">
        <w:rPr>
          <w:rFonts w:asciiTheme="majorBidi" w:hAnsiTheme="majorBidi" w:cstheme="majorBidi"/>
        </w:rPr>
        <w:t xml:space="preserve">zurunda </w:t>
      </w:r>
      <w:r w:rsidR="00447DB0">
        <w:rPr>
          <w:rFonts w:asciiTheme="majorBidi" w:hAnsiTheme="majorBidi" w:cstheme="majorBidi"/>
        </w:rPr>
        <w:t>yapılan</w:t>
      </w:r>
      <w:r w:rsidR="00691AA4">
        <w:rPr>
          <w:rFonts w:asciiTheme="majorBidi" w:hAnsiTheme="majorBidi" w:cstheme="majorBidi"/>
        </w:rPr>
        <w:t xml:space="preserve"> </w:t>
      </w:r>
      <w:r w:rsidR="004E5783">
        <w:rPr>
          <w:rFonts w:asciiTheme="majorBidi" w:hAnsiTheme="majorBidi" w:cstheme="majorBidi"/>
        </w:rPr>
        <w:t>ilim mec</w:t>
      </w:r>
      <w:r w:rsidR="00C02336">
        <w:rPr>
          <w:rFonts w:asciiTheme="majorBidi" w:hAnsiTheme="majorBidi" w:cstheme="majorBidi"/>
        </w:rPr>
        <w:t>lisleri</w:t>
      </w:r>
      <w:r w:rsidR="004E5783">
        <w:rPr>
          <w:rFonts w:asciiTheme="majorBidi" w:hAnsiTheme="majorBidi" w:cstheme="majorBidi"/>
        </w:rPr>
        <w:t xml:space="preserve">ne ilaveten ilmin teşvik edilmesine dair eserlerde yapılan anekdotların tümü bunun şahididir. </w:t>
      </w:r>
      <w:r w:rsidR="00E53D24">
        <w:rPr>
          <w:rFonts w:asciiTheme="majorBidi" w:hAnsiTheme="majorBidi" w:cstheme="majorBidi"/>
        </w:rPr>
        <w:t xml:space="preserve">Ancak </w:t>
      </w:r>
      <w:r w:rsidR="003346E9">
        <w:rPr>
          <w:rFonts w:asciiTheme="majorBidi" w:hAnsiTheme="majorBidi" w:cstheme="majorBidi"/>
        </w:rPr>
        <w:t xml:space="preserve">temel mesele bunu neye bağlamamız ve nasıl izah etmemiz gerektiğidir. </w:t>
      </w:r>
      <w:r w:rsidR="00D30819">
        <w:rPr>
          <w:rFonts w:asciiTheme="majorBidi" w:hAnsiTheme="majorBidi" w:cstheme="majorBidi"/>
        </w:rPr>
        <w:t>Başta Dimitri Gutas’ın çalışmaları olmak üzere o döneme ilişkin</w:t>
      </w:r>
      <w:r w:rsidR="00A16BE0">
        <w:rPr>
          <w:rFonts w:asciiTheme="majorBidi" w:hAnsiTheme="majorBidi" w:cstheme="majorBidi"/>
        </w:rPr>
        <w:t xml:space="preserve"> yapılmış bir</w:t>
      </w:r>
      <w:r w:rsidR="00D30819">
        <w:rPr>
          <w:rFonts w:asciiTheme="majorBidi" w:hAnsiTheme="majorBidi" w:cstheme="majorBidi"/>
        </w:rPr>
        <w:t xml:space="preserve">çok çalışmadan hareketle bu dönemdeki ilim arzusunu tercüme hareketine, </w:t>
      </w:r>
      <w:r w:rsidR="006E5FF0">
        <w:rPr>
          <w:rFonts w:asciiTheme="majorBidi" w:hAnsiTheme="majorBidi" w:cstheme="majorBidi"/>
        </w:rPr>
        <w:t>S</w:t>
      </w:r>
      <w:r w:rsidR="0007621A">
        <w:rPr>
          <w:rFonts w:asciiTheme="majorBidi" w:hAnsiTheme="majorBidi" w:cstheme="majorBidi"/>
        </w:rPr>
        <w:t>asanilerin yıkılması</w:t>
      </w:r>
      <w:r w:rsidR="000D0D0A">
        <w:rPr>
          <w:rFonts w:asciiTheme="majorBidi" w:hAnsiTheme="majorBidi" w:cstheme="majorBidi"/>
        </w:rPr>
        <w:t xml:space="preserve">yla birlikte </w:t>
      </w:r>
      <w:r w:rsidR="0050688E">
        <w:rPr>
          <w:rFonts w:asciiTheme="majorBidi" w:hAnsiTheme="majorBidi" w:cstheme="majorBidi"/>
        </w:rPr>
        <w:t xml:space="preserve">Anadolu’nun ortalarından başlayıp da </w:t>
      </w:r>
      <w:r w:rsidR="007C5605">
        <w:rPr>
          <w:rFonts w:asciiTheme="majorBidi" w:hAnsiTheme="majorBidi" w:cstheme="majorBidi"/>
        </w:rPr>
        <w:t>Hint sınırlarına</w:t>
      </w:r>
      <w:r w:rsidR="00A82ECF">
        <w:rPr>
          <w:rFonts w:asciiTheme="majorBidi" w:hAnsiTheme="majorBidi" w:cstheme="majorBidi"/>
        </w:rPr>
        <w:t xml:space="preserve"> kadarki</w:t>
      </w:r>
      <w:r w:rsidR="007C5605">
        <w:rPr>
          <w:rFonts w:asciiTheme="majorBidi" w:hAnsiTheme="majorBidi" w:cstheme="majorBidi"/>
        </w:rPr>
        <w:t xml:space="preserve"> coğrafyanın</w:t>
      </w:r>
      <w:r w:rsidR="00E323B9">
        <w:rPr>
          <w:rFonts w:asciiTheme="majorBidi" w:hAnsiTheme="majorBidi" w:cstheme="majorBidi"/>
        </w:rPr>
        <w:t xml:space="preserve"> Bizans ve Sasanilerin çatışma alanı olmasından kurtulmasının eseri olarak güvenli bir ortamın oluşmasına ve bundan mütevellit olarak ekonomik refahın artmasına ve bilgisel ilişkilerin yoğunlaşmasına pek tabii ki bağlayabiliriz. Hatta buna iktidarın entelektüel hayatı desteklemesi ve bu konuda maddi ve manevi  desteklerini de dahil edebiliriz.</w:t>
      </w:r>
      <w:r w:rsidR="00BD7F7F">
        <w:rPr>
          <w:rStyle w:val="DipnotBavurusu"/>
          <w:rFonts w:asciiTheme="majorBidi" w:hAnsiTheme="majorBidi" w:cstheme="majorBidi"/>
        </w:rPr>
        <w:footnoteReference w:id="6"/>
      </w:r>
      <w:r w:rsidR="00E323B9">
        <w:rPr>
          <w:rFonts w:asciiTheme="majorBidi" w:hAnsiTheme="majorBidi" w:cstheme="majorBidi"/>
        </w:rPr>
        <w:t xml:space="preserve"> Ancak tüm bunlar bu dönemdeki ilim arzusunu izah etmeye yetmez. Bu faktörler birer oluşturucu koşul, Aristoteles’in tasnifiyle maddi neden olarak görülebilir. Bunların yanı sıra bu arzuyu sürdürülebilir kılan başka saikler de tespit etmek gerekir.</w:t>
      </w:r>
    </w:p>
    <w:p w14:paraId="5F4F5B79" w14:textId="298FB1C2" w:rsidR="002F3A50" w:rsidRDefault="00A16BE0" w:rsidP="00613108">
      <w:pPr>
        <w:widowControl w:val="0"/>
        <w:autoSpaceDE w:val="0"/>
        <w:autoSpaceDN w:val="0"/>
        <w:adjustRightInd w:val="0"/>
        <w:spacing w:line="360" w:lineRule="auto"/>
        <w:jc w:val="both"/>
        <w:rPr>
          <w:rFonts w:asciiTheme="majorBidi" w:hAnsiTheme="majorBidi" w:cstheme="majorBidi"/>
        </w:rPr>
      </w:pPr>
      <w:r>
        <w:rPr>
          <w:rFonts w:asciiTheme="majorBidi" w:hAnsiTheme="majorBidi" w:cstheme="majorBidi"/>
        </w:rPr>
        <w:tab/>
        <w:t xml:space="preserve">Öncelikle şunu bilmemiz gerekir: 9. yüzyıldaki tartışma konuları </w:t>
      </w:r>
      <w:r w:rsidR="00C73B19">
        <w:rPr>
          <w:rFonts w:asciiTheme="majorBidi" w:hAnsiTheme="majorBidi" w:cstheme="majorBidi"/>
        </w:rPr>
        <w:t>farklılaşmıştır, daha doğrusu</w:t>
      </w:r>
      <w:r w:rsidR="00613108">
        <w:rPr>
          <w:rFonts w:asciiTheme="majorBidi" w:hAnsiTheme="majorBidi" w:cstheme="majorBidi"/>
        </w:rPr>
        <w:t>,</w:t>
      </w:r>
      <w:r w:rsidR="00C73B19">
        <w:rPr>
          <w:rFonts w:asciiTheme="majorBidi" w:hAnsiTheme="majorBidi" w:cstheme="majorBidi"/>
        </w:rPr>
        <w:t xml:space="preserve"> öncesinde olmayan birçok konu bu dönemdeki tartışmaların konusu olmuştur. Kelâm üzerinden konuları çözümlersek, bu yüzyılda insan, atom, doğa, hareket, insanın iç dünyası gibi tartışmalar varken</w:t>
      </w:r>
      <w:r w:rsidR="00BD7F7F">
        <w:rPr>
          <w:rFonts w:asciiTheme="majorBidi" w:hAnsiTheme="majorBidi" w:cstheme="majorBidi"/>
        </w:rPr>
        <w:t>,</w:t>
      </w:r>
      <w:r w:rsidR="00C73B19">
        <w:rPr>
          <w:rFonts w:asciiTheme="majorBidi" w:hAnsiTheme="majorBidi" w:cstheme="majorBidi"/>
        </w:rPr>
        <w:t xml:space="preserve"> bundan bir asır önce bunların esamesi bile  yoktu. Çalışmamıza </w:t>
      </w:r>
      <w:r w:rsidR="00BD7F7F">
        <w:rPr>
          <w:rFonts w:asciiTheme="majorBidi" w:hAnsiTheme="majorBidi" w:cstheme="majorBidi"/>
        </w:rPr>
        <w:t>k</w:t>
      </w:r>
      <w:r w:rsidR="00C73B19">
        <w:rPr>
          <w:rFonts w:asciiTheme="majorBidi" w:hAnsiTheme="majorBidi" w:cstheme="majorBidi"/>
        </w:rPr>
        <w:t>onu olan mottonun sahibi olan Nazzâm ile içinde yer aldığı geleneğin selefleri olan Vâsıl b. Ata’yı karşılaştırdığımızda bunu daha da net hale gelebilir. Nazzâm ve öğrencisi olan Câhız, eserlerinde hayvanları, bitkileri, madenler hakkında bilimsel deney yapmışlardır ve bu konularda edindikleri haberleri rapor etmiş olmalarının yanı sıra insanın mahiyeti, atomun reddi veya kabulünü, hareket</w:t>
      </w:r>
      <w:r w:rsidR="00641546">
        <w:rPr>
          <w:rFonts w:asciiTheme="majorBidi" w:hAnsiTheme="majorBidi" w:cstheme="majorBidi"/>
        </w:rPr>
        <w:t xml:space="preserve">, madde, zaman ve mekan gibi ontoloji meselelerini tartışmışlardır. Ayrıca </w:t>
      </w:r>
      <w:r w:rsidR="00C73B19">
        <w:rPr>
          <w:rFonts w:asciiTheme="majorBidi" w:hAnsiTheme="majorBidi" w:cstheme="majorBidi"/>
        </w:rPr>
        <w:t xml:space="preserve"> </w:t>
      </w:r>
      <w:r w:rsidR="00641546">
        <w:rPr>
          <w:rFonts w:asciiTheme="majorBidi" w:hAnsiTheme="majorBidi" w:cstheme="majorBidi"/>
        </w:rPr>
        <w:t xml:space="preserve">önceki yüzyıldan devraldıkları Tanrı ve sıfatlarını, adalet ve özgürlük gibi konuları daha ayrıntılı olarak ele almışlardır. Vasıl b. Ata ve arkadaşlarına baktığımızda ise onların daha ziyade ilahiyat problemleri ve insanın özgürlüğü konusuna yoğunlaştıklarını diğer konuların ise onların dikkatini </w:t>
      </w:r>
      <w:r w:rsidR="00BD7F7F">
        <w:rPr>
          <w:rFonts w:asciiTheme="majorBidi" w:hAnsiTheme="majorBidi" w:cstheme="majorBidi"/>
        </w:rPr>
        <w:t xml:space="preserve">pek </w:t>
      </w:r>
      <w:r w:rsidR="00641546">
        <w:rPr>
          <w:rFonts w:asciiTheme="majorBidi" w:hAnsiTheme="majorBidi" w:cstheme="majorBidi"/>
        </w:rPr>
        <w:t xml:space="preserve">çekmediğini söyleyebiliriz. Bundan hareketle şöyle bir sonuca varabiliriz: 9. yüzyılda tüm entelektüel hayatı belirleyen </w:t>
      </w:r>
      <w:r w:rsidR="00945FD6">
        <w:rPr>
          <w:rFonts w:asciiTheme="majorBidi" w:hAnsiTheme="majorBidi" w:cstheme="majorBidi"/>
        </w:rPr>
        <w:t xml:space="preserve">ontolojik ve epistemolojik </w:t>
      </w:r>
      <w:r w:rsidR="00641546">
        <w:rPr>
          <w:rFonts w:asciiTheme="majorBidi" w:hAnsiTheme="majorBidi" w:cstheme="majorBidi"/>
        </w:rPr>
        <w:t>i</w:t>
      </w:r>
      <w:r w:rsidR="00945FD6">
        <w:rPr>
          <w:rFonts w:asciiTheme="majorBidi" w:hAnsiTheme="majorBidi" w:cstheme="majorBidi"/>
        </w:rPr>
        <w:t>lkeler ortaya çıkmış değildir. Daha çok 8. yüzyıl teolojisini düşündüğümüzde Tanrı’nın adaleti ve sıfatlarına ilişkin birtakım prensiplerin varlığından söz edilebilir. Bunlar da 9. yüzyılda gerçekleşen tercüme hareketleri ve Maniheistlerle yapılan karşılaşmalarla farklı bir tartışma seyrine girmiş olmasının da etkisiyle teoloji yapmayı sağlayan zeminde hareketlilik baş göstermişt</w:t>
      </w:r>
      <w:r w:rsidR="00613108">
        <w:rPr>
          <w:rFonts w:asciiTheme="majorBidi" w:hAnsiTheme="majorBidi" w:cstheme="majorBidi"/>
        </w:rPr>
        <w:t>ir. Bütün bunlar, karşımıza pek</w:t>
      </w:r>
      <w:r w:rsidR="00945FD6">
        <w:rPr>
          <w:rFonts w:asciiTheme="majorBidi" w:hAnsiTheme="majorBidi" w:cstheme="majorBidi"/>
        </w:rPr>
        <w:t>çok konuda farklılıkların olduğu ve nerdeyse her bir düşünürün farklı bir yönde görüş beyan eden ve bunun için arzularını d</w:t>
      </w:r>
      <w:r w:rsidR="00BD7F7F">
        <w:rPr>
          <w:rFonts w:asciiTheme="majorBidi" w:hAnsiTheme="majorBidi" w:cstheme="majorBidi"/>
        </w:rPr>
        <w:t>inamik hale getiren düşünürler</w:t>
      </w:r>
      <w:r w:rsidR="00E5685D">
        <w:rPr>
          <w:rFonts w:asciiTheme="majorBidi" w:hAnsiTheme="majorBidi" w:cstheme="majorBidi"/>
        </w:rPr>
        <w:t>i karşımıza çıkarm</w:t>
      </w:r>
      <w:r w:rsidR="00BD7F7F">
        <w:rPr>
          <w:rFonts w:asciiTheme="majorBidi" w:hAnsiTheme="majorBidi" w:cstheme="majorBidi"/>
        </w:rPr>
        <w:t>ıştır</w:t>
      </w:r>
      <w:r w:rsidR="00945FD6">
        <w:rPr>
          <w:rFonts w:asciiTheme="majorBidi" w:hAnsiTheme="majorBidi" w:cstheme="majorBidi"/>
        </w:rPr>
        <w:t>. İşin bu kısmını toparlayacak olursak</w:t>
      </w:r>
      <w:r w:rsidR="00882C14">
        <w:rPr>
          <w:rFonts w:asciiTheme="majorBidi" w:hAnsiTheme="majorBidi" w:cstheme="majorBidi"/>
        </w:rPr>
        <w:t>, birinci olarak,</w:t>
      </w:r>
      <w:r w:rsidR="00945FD6">
        <w:rPr>
          <w:rFonts w:asciiTheme="majorBidi" w:hAnsiTheme="majorBidi" w:cstheme="majorBidi"/>
        </w:rPr>
        <w:t xml:space="preserve"> 9. yüzyıl düşünürleri, özellikle de kelâmcılar paradigmatik ilkelerden yoksundurlar. Nitekim bu dönemde Mu’tezile’de</w:t>
      </w:r>
      <w:r w:rsidR="00BD7F7F">
        <w:rPr>
          <w:rFonts w:asciiTheme="majorBidi" w:hAnsiTheme="majorBidi" w:cstheme="majorBidi"/>
        </w:rPr>
        <w:t>n</w:t>
      </w:r>
      <w:r w:rsidR="00945FD6">
        <w:rPr>
          <w:rFonts w:asciiTheme="majorBidi" w:hAnsiTheme="majorBidi" w:cstheme="majorBidi"/>
        </w:rPr>
        <w:t xml:space="preserve"> başka geniş çaplı bir ekolün olmaması da ilkeden yoksun olmanın bir görünümü ol</w:t>
      </w:r>
      <w:r w:rsidR="00882C14">
        <w:rPr>
          <w:rFonts w:asciiTheme="majorBidi" w:hAnsiTheme="majorBidi" w:cstheme="majorBidi"/>
        </w:rPr>
        <w:t xml:space="preserve">arak kabul edilebilir. İkinci olarak, bu dönemdeki düşünürlerin içkinlik düzlemiyle ilişkisi üzerinde durmak gerekir. Çünkü 9. yüzyılın düşünürleri, özellikle de mottosunu ele aldığımız Nazzâm ve arkadaşları </w:t>
      </w:r>
      <w:r w:rsidR="002F3A50">
        <w:rPr>
          <w:rFonts w:asciiTheme="majorBidi" w:hAnsiTheme="majorBidi" w:cstheme="majorBidi"/>
        </w:rPr>
        <w:t>sadece metafizik ekseni dikkate alan ve bunun üzerinde</w:t>
      </w:r>
      <w:r w:rsidR="00BD7F7F">
        <w:rPr>
          <w:rFonts w:asciiTheme="majorBidi" w:hAnsiTheme="majorBidi" w:cstheme="majorBidi"/>
        </w:rPr>
        <w:t>n düşünce</w:t>
      </w:r>
      <w:r w:rsidR="002F3A50">
        <w:rPr>
          <w:rFonts w:asciiTheme="majorBidi" w:hAnsiTheme="majorBidi" w:cstheme="majorBidi"/>
        </w:rPr>
        <w:t xml:space="preserve"> üretmeyi prensip edinen bir düşünce tarzını değil, </w:t>
      </w:r>
      <w:r w:rsidR="00882C14">
        <w:rPr>
          <w:rFonts w:asciiTheme="majorBidi" w:hAnsiTheme="majorBidi" w:cstheme="majorBidi"/>
        </w:rPr>
        <w:t xml:space="preserve">hayatın kendisiyle iç içe olan </w:t>
      </w:r>
      <w:r w:rsidR="002F3A50">
        <w:rPr>
          <w:rFonts w:asciiTheme="majorBidi" w:hAnsiTheme="majorBidi" w:cstheme="majorBidi"/>
        </w:rPr>
        <w:t xml:space="preserve">ve bizzat doğadaki olayları tecrübe etmek suretiyle </w:t>
      </w:r>
      <w:r w:rsidR="00882C14">
        <w:rPr>
          <w:rFonts w:asciiTheme="majorBidi" w:hAnsiTheme="majorBidi" w:cstheme="majorBidi"/>
        </w:rPr>
        <w:t>kelâ</w:t>
      </w:r>
      <w:r w:rsidR="002F3A50">
        <w:rPr>
          <w:rFonts w:asciiTheme="majorBidi" w:hAnsiTheme="majorBidi" w:cstheme="majorBidi"/>
        </w:rPr>
        <w:t>m</w:t>
      </w:r>
      <w:r w:rsidR="00882C14">
        <w:rPr>
          <w:rFonts w:asciiTheme="majorBidi" w:hAnsiTheme="majorBidi" w:cstheme="majorBidi"/>
        </w:rPr>
        <w:t xml:space="preserve"> </w:t>
      </w:r>
      <w:r w:rsidR="002F3A50">
        <w:rPr>
          <w:rFonts w:asciiTheme="majorBidi" w:hAnsiTheme="majorBidi" w:cstheme="majorBidi"/>
        </w:rPr>
        <w:t xml:space="preserve">yapmayı </w:t>
      </w:r>
      <w:r w:rsidR="00882C14">
        <w:rPr>
          <w:rFonts w:asciiTheme="majorBidi" w:hAnsiTheme="majorBidi" w:cstheme="majorBidi"/>
        </w:rPr>
        <w:t>benimsemişlerdir.</w:t>
      </w:r>
      <w:r w:rsidR="00F15C36">
        <w:rPr>
          <w:rFonts w:asciiTheme="majorBidi" w:hAnsiTheme="majorBidi" w:cstheme="majorBidi"/>
        </w:rPr>
        <w:t xml:space="preserve"> </w:t>
      </w:r>
      <w:r w:rsidR="002F3A50">
        <w:rPr>
          <w:rFonts w:asciiTheme="majorBidi" w:hAnsiTheme="majorBidi" w:cstheme="majorBidi"/>
        </w:rPr>
        <w:t xml:space="preserve">Haliyle bu tarz bir kelâm, kuşkucu olmayı, bilginin belirli </w:t>
      </w:r>
      <w:r w:rsidR="00BD7F7F">
        <w:rPr>
          <w:rFonts w:asciiTheme="majorBidi" w:hAnsiTheme="majorBidi" w:cstheme="majorBidi"/>
        </w:rPr>
        <w:t>bir mantıksal süreçle</w:t>
      </w:r>
      <w:r w:rsidR="002F3A50">
        <w:rPr>
          <w:rFonts w:asciiTheme="majorBidi" w:hAnsiTheme="majorBidi" w:cstheme="majorBidi"/>
        </w:rPr>
        <w:t xml:space="preserve"> elde edileceğine </w:t>
      </w:r>
      <w:r w:rsidR="00BD7F7F">
        <w:rPr>
          <w:rFonts w:asciiTheme="majorBidi" w:hAnsiTheme="majorBidi" w:cstheme="majorBidi"/>
        </w:rPr>
        <w:t>kuşku</w:t>
      </w:r>
      <w:r w:rsidR="002F3A50">
        <w:rPr>
          <w:rFonts w:asciiTheme="majorBidi" w:hAnsiTheme="majorBidi" w:cstheme="majorBidi"/>
        </w:rPr>
        <w:t xml:space="preserve"> yaklaşımını</w:t>
      </w:r>
      <w:r w:rsidR="00941834">
        <w:rPr>
          <w:rFonts w:asciiTheme="majorBidi" w:hAnsiTheme="majorBidi" w:cstheme="majorBidi"/>
        </w:rPr>
        <w:t>,</w:t>
      </w:r>
      <w:r w:rsidR="002F3A50">
        <w:rPr>
          <w:rFonts w:asciiTheme="majorBidi" w:hAnsiTheme="majorBidi" w:cstheme="majorBidi"/>
        </w:rPr>
        <w:t xml:space="preserve"> kesinlikten kaçmayı ve daha olumsal </w:t>
      </w:r>
      <w:r w:rsidR="004E4A34">
        <w:rPr>
          <w:rFonts w:asciiTheme="majorBidi" w:hAnsiTheme="majorBidi" w:cstheme="majorBidi"/>
        </w:rPr>
        <w:t>neticeler elde etmeye götürmektedir.</w:t>
      </w:r>
    </w:p>
    <w:p w14:paraId="2EE74097" w14:textId="45DB14D6" w:rsidR="004E4A34" w:rsidRDefault="004E4A34" w:rsidP="00A33D99">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 xml:space="preserve">İlke ve sınırlarla arzu üretimi arasında doğrudan bir bağlantı vardır. Bilme isteğini aşk düzeyine çıkaran, başka bir ifadeyle arzunun süreklilik ve olumsal halde ilerlemesini sağlayan, onun herhangi bir sınırlama ve kuşatılmışlık tarafından ket vurulmamasıdır. İlkeler ve sınırların mevcudiyeti, arzuyu kemalin peşinde olmaya sürükler. Çünkü kemalden söz ettiğimizde varılmak istenen neticeyi kusursuz yapan ilkelerden onun da devamında sınırlamalardan söz ederiz. Bu durumda iki çeşit arzudan söz edebiliriz. Birincisi kusursuz olanın istenmesidir. Bu çeşit arzular bir ilkeden hareket ederler. Bu ilkelerin meydana gelmesi ise tolumun farklı katmalarının farkında </w:t>
      </w:r>
      <w:r w:rsidR="00930784">
        <w:rPr>
          <w:rFonts w:asciiTheme="majorBidi" w:hAnsiTheme="majorBidi" w:cstheme="majorBidi"/>
        </w:rPr>
        <w:t>olsun ya da olmasın bir</w:t>
      </w:r>
      <w:r>
        <w:rPr>
          <w:rFonts w:asciiTheme="majorBidi" w:hAnsiTheme="majorBidi" w:cstheme="majorBidi"/>
        </w:rPr>
        <w:t>takım ölçütleri kusursuzluğun belirleyicileri olarak saptamasıyla başlar. Bilme arzusunu konuştuğumuzda genellikle ekollerin varlığı ve daha üst düzeyde görülen otoritelerin söyledikleri</w:t>
      </w:r>
      <w:r w:rsidR="00930784">
        <w:rPr>
          <w:rFonts w:asciiTheme="majorBidi" w:hAnsiTheme="majorBidi" w:cstheme="majorBidi"/>
        </w:rPr>
        <w:t>,</w:t>
      </w:r>
      <w:r>
        <w:rPr>
          <w:rFonts w:asciiTheme="majorBidi" w:hAnsiTheme="majorBidi" w:cstheme="majorBidi"/>
        </w:rPr>
        <w:t xml:space="preserve"> arzunun kusursuz nesnesini oluştururlar.</w:t>
      </w:r>
      <w:r w:rsidR="00213E12">
        <w:rPr>
          <w:rFonts w:asciiTheme="majorBidi" w:hAnsiTheme="majorBidi" w:cstheme="majorBidi"/>
        </w:rPr>
        <w:t xml:space="preserve"> Böylesi bir durumda ekol müntesibine düşen, genellikle üstatların temel ilkelerine uygun düşecek şekilde bilgi üretmektir. Nazzâm ve arkadaşları için düşündüğümüzde, ne böyle bir ekol ne de böyle bir üstat vardır. Üstat, denilecekse eğer, ona ders veren Ebu’l-Hüzeyl’den söz etmek gerekir ki bu kişi, aynı zamanda onun kıyasıya tartıştığı ve büsbütün farklı bir kelâm paradigmasına sahip olan bir kişidir. Açıkçası bu dönemde oturmuş bir ekol ve paradigma da mevcut değildir. Ehlinin bildiği üzere Eş‘arilik ve Mâtürîdîlik, Nazzâm’ın yaşadığı dönemden sonraki yıllarda ortaya çıkan ekollerdir. Dolayısıyla 9. yüzyıl henüz eko</w:t>
      </w:r>
      <w:r w:rsidR="00930784">
        <w:rPr>
          <w:rFonts w:asciiTheme="majorBidi" w:hAnsiTheme="majorBidi" w:cstheme="majorBidi"/>
        </w:rPr>
        <w:t>lleşmenin  belirli bir olgunluğa</w:t>
      </w:r>
      <w:r w:rsidR="00213E12">
        <w:rPr>
          <w:rFonts w:asciiTheme="majorBidi" w:hAnsiTheme="majorBidi" w:cstheme="majorBidi"/>
        </w:rPr>
        <w:t xml:space="preserve"> eriştiği yıllar değildir. Dolayısıyla Nazzâm ve arkadaşları için bilme arzusu epistemik toplum tarafından kusursuzluk kriterleri belirlenmiş bir kemal arayışı ya da bu çerçevedeki bir seyri takip eden arzu değildir.</w:t>
      </w:r>
      <w:r w:rsidR="00D531FB">
        <w:rPr>
          <w:rFonts w:asciiTheme="majorBidi" w:hAnsiTheme="majorBidi" w:cstheme="majorBidi"/>
        </w:rPr>
        <w:t xml:space="preserve"> İkinci tür arzuya gelecek olursak, bu çeşit arzu nihayeti kestirilemeyen ve arzunun sürdürülmesinin bizatihi kendisinin arzunun nesnesi olduğu arzu biçimidir. Dolayısıyla bu çeşit arzuda bir menzil yoktur v</w:t>
      </w:r>
      <w:r w:rsidR="00A33D99">
        <w:rPr>
          <w:rFonts w:asciiTheme="majorBidi" w:hAnsiTheme="majorBidi" w:cstheme="majorBidi"/>
        </w:rPr>
        <w:t>e gösterenle-gösterilen aynıdır, i</w:t>
      </w:r>
      <w:r w:rsidR="00D531FB">
        <w:rPr>
          <w:rFonts w:asciiTheme="majorBidi" w:hAnsiTheme="majorBidi" w:cstheme="majorBidi"/>
        </w:rPr>
        <w:t>kisi de aruzunun kendisidir. Bu çeşit arzu haliyle ilkelerden ve sabit inançlardan ya da bilinç hallerinden değil; hareketli, olumsal, belirgin olmayan ve sürekli değişen bir bilinçdışından kaynağını alır. Adeta organsız beden niteliğindeki bir bilinçdışından kaynağını alır.  Organsız beden olmasının sebebi net inançlar taşımamasından ve tereddüt yoğunluklu olumsal bir hal içerisinde arzulara kaynaklı</w:t>
      </w:r>
      <w:r w:rsidR="00A33D99">
        <w:rPr>
          <w:rFonts w:asciiTheme="majorBidi" w:hAnsiTheme="majorBidi" w:cstheme="majorBidi"/>
        </w:rPr>
        <w:t>k</w:t>
      </w:r>
      <w:r w:rsidR="00D531FB">
        <w:rPr>
          <w:rFonts w:asciiTheme="majorBidi" w:hAnsiTheme="majorBidi" w:cstheme="majorBidi"/>
        </w:rPr>
        <w:t xml:space="preserve"> etmesinden dolayıdır. Zaten bilme arzusunu belirsiz ve ufka doğru sürükleyen, böylesi </w:t>
      </w:r>
      <w:r w:rsidR="00930784">
        <w:rPr>
          <w:rFonts w:asciiTheme="majorBidi" w:hAnsiTheme="majorBidi" w:cstheme="majorBidi"/>
        </w:rPr>
        <w:t xml:space="preserve">bir </w:t>
      </w:r>
      <w:r w:rsidR="00D531FB">
        <w:rPr>
          <w:rFonts w:asciiTheme="majorBidi" w:hAnsiTheme="majorBidi" w:cstheme="majorBidi"/>
        </w:rPr>
        <w:t>bilinçdışı haldir.</w:t>
      </w:r>
      <w:r w:rsidR="00E1719B">
        <w:rPr>
          <w:rFonts w:asciiTheme="majorBidi" w:hAnsiTheme="majorBidi" w:cstheme="majorBidi"/>
        </w:rPr>
        <w:t xml:space="preserve"> Çünkü böylesi bir arzu biçimi kaynağını inançlardan değil, olumsallıkla şekillenmiş ve her bir imkanın arzunun sürdürülmesinde denenmeye değer olduğu ve böylelikle sonu gelmeyen ihtimallerin kaynak olmak bakımında zemin teşkil ettikleri ve arzunun ufka doğru yöneldi</w:t>
      </w:r>
      <w:r w:rsidR="008B36AA">
        <w:rPr>
          <w:rFonts w:asciiTheme="majorBidi" w:hAnsiTheme="majorBidi" w:cstheme="majorBidi"/>
        </w:rPr>
        <w:t xml:space="preserve">ği </w:t>
      </w:r>
      <w:r w:rsidR="00A33D99">
        <w:rPr>
          <w:rFonts w:asciiTheme="majorBidi" w:hAnsiTheme="majorBidi" w:cstheme="majorBidi"/>
        </w:rPr>
        <w:t>bir seyir halini almaktadır.</w:t>
      </w:r>
    </w:p>
    <w:p w14:paraId="563DF69A" w14:textId="386241D1" w:rsidR="00A33CFB" w:rsidRPr="00A33CFB" w:rsidRDefault="00A33CFB" w:rsidP="00A33D99">
      <w:pPr>
        <w:widowControl w:val="0"/>
        <w:autoSpaceDE w:val="0"/>
        <w:autoSpaceDN w:val="0"/>
        <w:adjustRightInd w:val="0"/>
        <w:spacing w:line="360" w:lineRule="auto"/>
        <w:ind w:firstLine="708"/>
        <w:jc w:val="both"/>
        <w:rPr>
          <w:rFonts w:asciiTheme="majorBidi" w:hAnsiTheme="majorBidi" w:cstheme="majorBidi"/>
          <w:b/>
          <w:bCs/>
        </w:rPr>
      </w:pPr>
      <w:r w:rsidRPr="00A33CFB">
        <w:rPr>
          <w:rFonts w:asciiTheme="majorBidi" w:hAnsiTheme="majorBidi" w:cstheme="majorBidi"/>
          <w:b/>
          <w:bCs/>
        </w:rPr>
        <w:t>b) Nazzâm’ın İlim Aşkına Dair Sözlerinin Zihin Felsefesiyle İlişkisi</w:t>
      </w:r>
    </w:p>
    <w:p w14:paraId="4F691EF1" w14:textId="69148E22" w:rsidR="008B36AA" w:rsidRDefault="00B15AC5" w:rsidP="00FE40C8">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 xml:space="preserve">Aslında bilme arzusunun gidişatı tam da mottosunu konu ediğimiz Nazzâm’ın sıkı bir takipçisi olan Câhız’ın söylediğine yakın bir şekilde gerçekleşmektedir: </w:t>
      </w:r>
      <w:r w:rsidR="00A33D99">
        <w:rPr>
          <w:rFonts w:asciiTheme="majorBidi" w:hAnsiTheme="majorBidi" w:cstheme="majorBidi"/>
        </w:rPr>
        <w:t>Câhız’ın söylediği gibi, b</w:t>
      </w:r>
      <w:r>
        <w:rPr>
          <w:rFonts w:asciiTheme="majorBidi" w:hAnsiTheme="majorBidi" w:cstheme="majorBidi"/>
        </w:rPr>
        <w:t xml:space="preserve">ilme arzusu önermelerin ve ilkelerin sıralanmasıyla kendini göstermez. </w:t>
      </w:r>
      <w:r w:rsidR="00482844">
        <w:rPr>
          <w:rFonts w:asciiTheme="majorBidi" w:hAnsiTheme="majorBidi" w:cstheme="majorBidi"/>
        </w:rPr>
        <w:t>A</w:t>
      </w:r>
      <w:r>
        <w:rPr>
          <w:rFonts w:asciiTheme="majorBidi" w:hAnsiTheme="majorBidi" w:cstheme="majorBidi"/>
        </w:rPr>
        <w:t>rzunun ortaya çıkmasını sağlayan zihinsel uyar</w:t>
      </w:r>
      <w:r w:rsidR="00482844">
        <w:rPr>
          <w:rFonts w:asciiTheme="majorBidi" w:hAnsiTheme="majorBidi" w:cstheme="majorBidi"/>
        </w:rPr>
        <w:t>ımlardır (</w:t>
      </w:r>
      <w:r w:rsidR="00482844" w:rsidRPr="00482844">
        <w:rPr>
          <w:rFonts w:asciiTheme="majorBidi" w:hAnsiTheme="majorBidi" w:cstheme="majorBidi"/>
          <w:i/>
          <w:iCs/>
        </w:rPr>
        <w:t>havâtır</w:t>
      </w:r>
      <w:r w:rsidR="00482844">
        <w:rPr>
          <w:rFonts w:asciiTheme="majorBidi" w:hAnsiTheme="majorBidi" w:cstheme="majorBidi"/>
        </w:rPr>
        <w:t>).</w:t>
      </w:r>
      <w:r w:rsidR="00A33D99">
        <w:rPr>
          <w:rStyle w:val="DipnotBavurusu"/>
          <w:rFonts w:asciiTheme="majorBidi" w:hAnsiTheme="majorBidi" w:cstheme="majorBidi"/>
        </w:rPr>
        <w:footnoteReference w:id="7"/>
      </w:r>
      <w:r w:rsidR="00482844">
        <w:rPr>
          <w:rFonts w:asciiTheme="majorBidi" w:hAnsiTheme="majorBidi" w:cstheme="majorBidi"/>
        </w:rPr>
        <w:t xml:space="preserve"> Bu uyarımlar sabit ya da kendi eğilimlerini belirli yönde gerçekleştiren halde değildir, üstelik belli belirsiz kuşku, tereddüt, his, hatıralardan müteşekkil olan bu uyarımlar, Nazzâm’ın söylediği gibi, çatışma halinde oldukları gibi</w:t>
      </w:r>
      <w:r w:rsidR="00455F5B" w:rsidRPr="00756844">
        <w:rPr>
          <w:rStyle w:val="DipnotBavurusu"/>
          <w:rFonts w:eastAsiaTheme="minorEastAsia"/>
        </w:rPr>
        <w:footnoteReference w:id="8"/>
      </w:r>
      <w:r w:rsidR="00482844">
        <w:rPr>
          <w:rFonts w:asciiTheme="majorBidi" w:hAnsiTheme="majorBidi" w:cstheme="majorBidi"/>
        </w:rPr>
        <w:t xml:space="preserve"> bu sürecin sonunda bir belirgin bir fikir oluşmamakta her defasında üzerinde durulmaya değer varsayımlar, ihtimaller, kısacası olumsallıklar meydana gelmektedir. Dolayısıyla bilgi de arzu da kaynağını buradan almaktadır. Ancak bu kaynağın olumsal bir kaynak olduğunu tekrar hatırlatmak ve zihinde birer uyarım olarak zihinde bekleyen her bir farklı yöndeki uyarımın da </w:t>
      </w:r>
      <w:r w:rsidR="00FE40C8">
        <w:rPr>
          <w:rFonts w:asciiTheme="majorBidi" w:hAnsiTheme="majorBidi" w:cstheme="majorBidi"/>
        </w:rPr>
        <w:t xml:space="preserve">farkındalık düzeyinde olmasa bile </w:t>
      </w:r>
      <w:r w:rsidR="00482844">
        <w:rPr>
          <w:rFonts w:asciiTheme="majorBidi" w:hAnsiTheme="majorBidi" w:cstheme="majorBidi"/>
        </w:rPr>
        <w:t>iş başında</w:t>
      </w:r>
      <w:r w:rsidR="00FE40C8">
        <w:rPr>
          <w:rFonts w:asciiTheme="majorBidi" w:hAnsiTheme="majorBidi" w:cstheme="majorBidi"/>
        </w:rPr>
        <w:t xml:space="preserve"> olduğunu hatırlatmak gerekir.</w:t>
      </w:r>
    </w:p>
    <w:p w14:paraId="66E66C24" w14:textId="4EDF1761" w:rsidR="00DE39AF" w:rsidRDefault="00E95FAA" w:rsidP="00AD76A4">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 xml:space="preserve">Câhız’ın ısrarla belirttiği  gibi zihinsel uyarımlar ne kadar artarsa düşünme etkinliği </w:t>
      </w:r>
      <w:r w:rsidR="00455F5B">
        <w:rPr>
          <w:rFonts w:asciiTheme="majorBidi" w:hAnsiTheme="majorBidi" w:cstheme="majorBidi"/>
        </w:rPr>
        <w:t xml:space="preserve">de </w:t>
      </w:r>
      <w:r>
        <w:rPr>
          <w:rFonts w:asciiTheme="majorBidi" w:hAnsiTheme="majorBidi" w:cstheme="majorBidi"/>
        </w:rPr>
        <w:t>o k</w:t>
      </w:r>
      <w:r w:rsidR="00455F5B">
        <w:rPr>
          <w:rFonts w:asciiTheme="majorBidi" w:hAnsiTheme="majorBidi" w:cstheme="majorBidi"/>
        </w:rPr>
        <w:t>adar artar. Şöyle diyebiliriz: U</w:t>
      </w:r>
      <w:r>
        <w:rPr>
          <w:rFonts w:asciiTheme="majorBidi" w:hAnsiTheme="majorBidi" w:cstheme="majorBidi"/>
        </w:rPr>
        <w:t>yarımlar ne kadar artarsa bilme arzusunu sürdürmek de o kadar olanaklı olur. Uyarımlarla kastedilen bilgiler değildir kuşkusuz, zihnin gerekirse allak bullak olmasını sağlayan tecrübelerdir. Uyarımların kaynağı olarak Câhız’ın tecrübeyi görmesi ve tecrübeyi arttırmasını okuyucusuna salık verme</w:t>
      </w:r>
      <w:r w:rsidR="00DE39AF">
        <w:rPr>
          <w:rFonts w:asciiTheme="majorBidi" w:hAnsiTheme="majorBidi" w:cstheme="majorBidi"/>
        </w:rPr>
        <w:t>si bu yüzdendir. Alevin çıkmasıyla çocuğun konuşması arasında verdiği örnek zihnin allak bullak olmasını ifade eden çok iyi bir örnektir. Buna gö</w:t>
      </w:r>
      <w:r w:rsidR="00505B33">
        <w:rPr>
          <w:rFonts w:asciiTheme="majorBidi" w:hAnsiTheme="majorBidi" w:cstheme="majorBidi"/>
        </w:rPr>
        <w:t>re çocukların zihinsel u</w:t>
      </w:r>
      <w:r w:rsidR="00DE39AF">
        <w:rPr>
          <w:rFonts w:asciiTheme="majorBidi" w:hAnsiTheme="majorBidi" w:cstheme="majorBidi"/>
        </w:rPr>
        <w:t>yaranlarının artması için örneğin alev onlara gösterilebilir. Çünkü alev çocukların hayrete düşmesini sağlayacağı için ayrıca bir uyaran olarak zihnini harekete geçirecek ve dilinin açılmasını sağlayacaktır.</w:t>
      </w:r>
      <w:r w:rsidR="00455F5B" w:rsidRPr="00455F5B">
        <w:rPr>
          <w:rStyle w:val="DipnotBavurusu"/>
          <w:rFonts w:eastAsia="Times New Roman"/>
          <w:lang w:eastAsia="tr-TR"/>
        </w:rPr>
        <w:t xml:space="preserve"> </w:t>
      </w:r>
      <w:r w:rsidR="00455F5B" w:rsidRPr="00053D82">
        <w:rPr>
          <w:rStyle w:val="DipnotBavurusu"/>
          <w:rFonts w:eastAsia="Times New Roman"/>
          <w:lang w:eastAsia="tr-TR"/>
        </w:rPr>
        <w:footnoteReference w:id="9"/>
      </w:r>
    </w:p>
    <w:p w14:paraId="4A4EB5ED" w14:textId="3C5FB6C2" w:rsidR="00F501C0" w:rsidRDefault="005A3783" w:rsidP="00A33CFB">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Tec</w:t>
      </w:r>
      <w:r w:rsidR="00F501C0">
        <w:rPr>
          <w:rFonts w:asciiTheme="majorBidi" w:hAnsiTheme="majorBidi" w:cstheme="majorBidi"/>
        </w:rPr>
        <w:t>rübe ve bilme arzusu arasındaki ilişki Nazzâm ve arkadaşları için sadece teorik bir konu değildi. Câhız’ın eserleri onların yaptıkları deneyleri fazlasıyla bize vermektedir. Onların yaptığı deneylerin Aydınlanma sonrasındaki bilimsel deneyler gibi olduğu söylenemez elbette, ancak doğanın derinliklerine dalıp özellikle ilginç nesneleri ve olayları görmeye duyula arzuyla birlikte bir tecrübe olduğunu söyleyebiliriz. Nitekim Nazzâm tarafından devekuşuna verilen farklı nesnelerin ne şekilde sindirildiğinin deneyimlenmesi, Câhız’ın postacı güvercinlerin güzergahına ilişkin izahları,</w:t>
      </w:r>
      <w:r w:rsidR="00613108">
        <w:rPr>
          <w:rStyle w:val="DipnotBavurusu"/>
          <w:rFonts w:asciiTheme="majorBidi" w:hAnsiTheme="majorBidi" w:cstheme="majorBidi"/>
        </w:rPr>
        <w:footnoteReference w:id="10"/>
      </w:r>
      <w:r w:rsidR="00F501C0">
        <w:rPr>
          <w:rFonts w:asciiTheme="majorBidi" w:hAnsiTheme="majorBidi" w:cstheme="majorBidi"/>
        </w:rPr>
        <w:t xml:space="preserve"> Pavlov’un klasik koşullanmasını hatırlatan köpeğin havlaması ve  </w:t>
      </w:r>
      <w:r>
        <w:rPr>
          <w:rFonts w:asciiTheme="majorBidi" w:hAnsiTheme="majorBidi" w:cstheme="majorBidi"/>
        </w:rPr>
        <w:t>bıçağın sesi arasındaki ilişkinin farklı şekillerde deneyimlenmesi,</w:t>
      </w:r>
      <w:r w:rsidR="00613108">
        <w:rPr>
          <w:rStyle w:val="DipnotBavurusu"/>
          <w:rFonts w:asciiTheme="majorBidi" w:hAnsiTheme="majorBidi" w:cstheme="majorBidi"/>
        </w:rPr>
        <w:footnoteReference w:id="11"/>
      </w:r>
      <w:r>
        <w:rPr>
          <w:rFonts w:asciiTheme="majorBidi" w:hAnsiTheme="majorBidi" w:cstheme="majorBidi"/>
        </w:rPr>
        <w:t xml:space="preserve"> horozların ötüşü ile zaman arasındaki ilişki ve bunun muhtemel sebepleri,  sperm olmadan hayvanın yumurtanın döllenebilmesinin imkanına dair değerlendirmeler</w:t>
      </w:r>
      <w:r w:rsidR="00613108">
        <w:rPr>
          <w:rStyle w:val="DipnotBavurusu"/>
          <w:rFonts w:asciiTheme="majorBidi" w:hAnsiTheme="majorBidi" w:cstheme="majorBidi"/>
        </w:rPr>
        <w:footnoteReference w:id="12"/>
      </w:r>
      <w:r>
        <w:rPr>
          <w:rFonts w:asciiTheme="majorBidi" w:hAnsiTheme="majorBidi" w:cstheme="majorBidi"/>
        </w:rPr>
        <w:t xml:space="preserve"> </w:t>
      </w:r>
      <w:r w:rsidR="00C26B0C">
        <w:rPr>
          <w:rFonts w:asciiTheme="majorBidi" w:hAnsiTheme="majorBidi" w:cstheme="majorBidi"/>
        </w:rPr>
        <w:t xml:space="preserve">ve hadım edilen insanlar ve hayvanların </w:t>
      </w:r>
      <w:r w:rsidR="008033FF">
        <w:rPr>
          <w:rFonts w:asciiTheme="majorBidi" w:hAnsiTheme="majorBidi" w:cstheme="majorBidi"/>
        </w:rPr>
        <w:t xml:space="preserve">yaşadığı sosyolojik, biyolojik ve psikolojik değişimler </w:t>
      </w:r>
      <w:r>
        <w:rPr>
          <w:rFonts w:asciiTheme="majorBidi" w:hAnsiTheme="majorBidi" w:cstheme="majorBidi"/>
        </w:rPr>
        <w:t>ilk elden akla gelebilen tecrübe örnekleridir.</w:t>
      </w:r>
    </w:p>
    <w:p w14:paraId="309FD6A0" w14:textId="12DDB942" w:rsidR="008033FF" w:rsidRDefault="008033FF" w:rsidP="008033FF">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 xml:space="preserve">Aydınlanma sonrası modern bilim anlayışı aksiyomatik olmak açısından 9. yüzyıl Müslümanlarının bilim anlayışından ayrılır. Çünkü modern bilim belli ilkelerden hareket ederek sürdürülür. Bunun tabi getirisi olduğu kadar götürüsü de vardır. Düzenli, sistemli ve sonuç alıcı olması onun aksiyomatik olmasından ileri gelir. Ne var ki ilkeler aynı zamanda ufku kısıtlayan bir karaktere de sahiptir. Nitekim 20. </w:t>
      </w:r>
      <w:r w:rsidR="00F11CEE">
        <w:rPr>
          <w:rFonts w:asciiTheme="majorBidi" w:hAnsiTheme="majorBidi" w:cstheme="majorBidi"/>
        </w:rPr>
        <w:t>y</w:t>
      </w:r>
      <w:r>
        <w:rPr>
          <w:rFonts w:asciiTheme="majorBidi" w:hAnsiTheme="majorBidi" w:cstheme="majorBidi"/>
        </w:rPr>
        <w:t>üzyılın başlarına doğru kuantum fiziğinin ortaya çıkması da böylesi bir eksikliğin telafi edilmesine dönü</w:t>
      </w:r>
      <w:r w:rsidR="006A286A">
        <w:rPr>
          <w:rFonts w:asciiTheme="majorBidi" w:hAnsiTheme="majorBidi" w:cstheme="majorBidi"/>
        </w:rPr>
        <w:t>k olarak ortaya çıkmıştır. 9. y</w:t>
      </w:r>
      <w:r>
        <w:rPr>
          <w:rFonts w:asciiTheme="majorBidi" w:hAnsiTheme="majorBidi" w:cstheme="majorBidi"/>
        </w:rPr>
        <w:t>üzyıl Müslümanlarının bilim anlayışı bağlamında Nazzâm ve arkadaşlarına baktığımızda ise onlar için metafizikte ilkeler oluşmadığı gibi doğa araştırmalarında da henüz ilkeler oluşmuş değildir. Bunu bilinçli bir tercih olarak görmektense o dönemin koşullarına ve yeteri kadar birikimin oluşmamasına bağlamak gerekir. Bu sebeple bilim anlayışları aksiyomatik değildi. Bir anlamda edebiyat ve eğlenceyle karışık olan ama doğanın hayret verici noktalarını keşfetmeye yönelen bir bilim anlayışından söz edebiliriz.</w:t>
      </w:r>
    </w:p>
    <w:p w14:paraId="539E1D89" w14:textId="77D1F2EC" w:rsidR="00F11CEE" w:rsidRDefault="00F11CEE" w:rsidP="00C201D5">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 xml:space="preserve">Nazzâm ve arkadaşları, her tür bilginin ve varsayımın kontrol edilmesini sağlayacak aksiyomatik ilkelere sahip olmasalar da bu, </w:t>
      </w:r>
      <w:r w:rsidR="00C201D5">
        <w:rPr>
          <w:rFonts w:asciiTheme="majorBidi" w:hAnsiTheme="majorBidi" w:cstheme="majorBidi"/>
        </w:rPr>
        <w:t>onların zihinsel uyarımların sağladığı varsayımların kontrol edilmesini sağlayacak birtakım mekanizmalara sahip olmadığı anlamına gelmez. Test süreci onlar açısından tesebbüt, tavakkuf olarak isimlendirdikleri kuşku mertebelerinden geçmek anlamdadır.</w:t>
      </w:r>
      <w:r w:rsidR="00C3704D">
        <w:rPr>
          <w:rStyle w:val="DipnotBavurusu"/>
          <w:rFonts w:asciiTheme="majorBidi" w:hAnsiTheme="majorBidi" w:cstheme="majorBidi"/>
        </w:rPr>
        <w:footnoteReference w:id="13"/>
      </w:r>
      <w:r w:rsidR="00C201D5">
        <w:rPr>
          <w:rFonts w:asciiTheme="majorBidi" w:hAnsiTheme="majorBidi" w:cstheme="majorBidi"/>
        </w:rPr>
        <w:t xml:space="preserve"> Câhız bazen kendi ifadeleriyle bazen de hocası Nâzzâm’ın ifadeleriyle </w:t>
      </w:r>
      <w:r w:rsidR="003E58ED">
        <w:rPr>
          <w:rFonts w:asciiTheme="majorBidi" w:hAnsiTheme="majorBidi" w:cstheme="majorBidi"/>
        </w:rPr>
        <w:t xml:space="preserve">kuşkuyu </w:t>
      </w:r>
      <w:r w:rsidR="00C201D5">
        <w:rPr>
          <w:rFonts w:asciiTheme="majorBidi" w:hAnsiTheme="majorBidi" w:cstheme="majorBidi"/>
        </w:rPr>
        <w:t xml:space="preserve">metheder ve bilmenin olmazsa olmaz koşulu olarak gösterir ve bu konuda önemli bir literatür kaleme alır. Onlar </w:t>
      </w:r>
      <w:r w:rsidR="003E58ED">
        <w:rPr>
          <w:rFonts w:asciiTheme="majorBidi" w:hAnsiTheme="majorBidi" w:cstheme="majorBidi"/>
        </w:rPr>
        <w:t xml:space="preserve">için </w:t>
      </w:r>
      <w:r w:rsidR="00C201D5">
        <w:rPr>
          <w:rFonts w:asciiTheme="majorBidi" w:hAnsiTheme="majorBidi" w:cstheme="majorBidi"/>
        </w:rPr>
        <w:t>varsayımları denetlemenin iki yolu bulunmaktadır. Birincisi, varsayımın doğadaki olaylarla test edilmesidir. Nitekim Câhız, simyacılık, evrim ve yukarıda dile getirdiğimiz örneklerin bir kısmını test etmemiz gerektiğini söylemekte ve buna göre mümkün, muhâl ve mümteni olarak tasnif edileceğini söyler.</w:t>
      </w:r>
      <w:r w:rsidR="00C3704D">
        <w:rPr>
          <w:rStyle w:val="DipnotBavurusu"/>
          <w:rFonts w:asciiTheme="majorBidi" w:hAnsiTheme="majorBidi" w:cstheme="majorBidi"/>
        </w:rPr>
        <w:footnoteReference w:id="14"/>
      </w:r>
      <w:r w:rsidR="00C201D5">
        <w:rPr>
          <w:rFonts w:asciiTheme="majorBidi" w:hAnsiTheme="majorBidi" w:cstheme="majorBidi"/>
        </w:rPr>
        <w:t xml:space="preserve"> İkincisi ise aklın ölçütleri açısından değerlendirmektir. Ancak unutmayalım ki buradaki akıl Platoncu gelenekte olduğu gibi tecrübenin dışında elde edilmiş olan bir akıl değildir. Kişinin çocukluğundan beri kazanmış olduğu genel tecrübedir.</w:t>
      </w:r>
      <w:r w:rsidR="00C3704D">
        <w:rPr>
          <w:rStyle w:val="DipnotBavurusu"/>
          <w:rFonts w:asciiTheme="majorBidi" w:hAnsiTheme="majorBidi" w:cstheme="majorBidi"/>
        </w:rPr>
        <w:footnoteReference w:id="15"/>
      </w:r>
      <w:r w:rsidR="00C201D5">
        <w:rPr>
          <w:rFonts w:asciiTheme="majorBidi" w:hAnsiTheme="majorBidi" w:cstheme="majorBidi"/>
        </w:rPr>
        <w:t xml:space="preserve"> Dolayısıyla iki ölçütte aşkın olan bir evrenden değil içkin ve hayatın içinden gelen ölçütlerdir.</w:t>
      </w:r>
    </w:p>
    <w:p w14:paraId="1CB2D0E0" w14:textId="77777777" w:rsidR="007877FF" w:rsidRDefault="00FF40E5" w:rsidP="00821F72">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Câhız, Nazzâm’ın ekolünün bir ferdi olarak</w:t>
      </w:r>
      <w:r w:rsidR="00A823D3">
        <w:rPr>
          <w:rFonts w:asciiTheme="majorBidi" w:hAnsiTheme="majorBidi" w:cstheme="majorBidi"/>
        </w:rPr>
        <w:t xml:space="preserve"> doğa araştırmalarını devam etmeleri durumunda nesnelerin doğasını ve hareketlerin sonuçlarını tahmin edebilecekleri konusunda </w:t>
      </w:r>
      <w:r w:rsidR="00E85B51">
        <w:rPr>
          <w:rFonts w:asciiTheme="majorBidi" w:hAnsiTheme="majorBidi" w:cstheme="majorBidi"/>
        </w:rPr>
        <w:t xml:space="preserve">ısrarcı olsa da doğayı bilinegelen Arsitotelesçi felsefedeki gibi düşünmez. </w:t>
      </w:r>
      <w:r w:rsidR="00821F72">
        <w:rPr>
          <w:rFonts w:asciiTheme="majorBidi" w:hAnsiTheme="majorBidi" w:cstheme="majorBidi"/>
        </w:rPr>
        <w:t xml:space="preserve">Nazzâmcı </w:t>
      </w:r>
      <w:r w:rsidR="007D5649">
        <w:rPr>
          <w:rFonts w:asciiTheme="majorBidi" w:hAnsiTheme="majorBidi" w:cstheme="majorBidi"/>
        </w:rPr>
        <w:t>k</w:t>
      </w:r>
      <w:r w:rsidR="00821F72">
        <w:rPr>
          <w:rFonts w:asciiTheme="majorBidi" w:hAnsiTheme="majorBidi" w:cstheme="majorBidi"/>
        </w:rPr>
        <w:t>ümûn teor</w:t>
      </w:r>
      <w:r w:rsidR="007D5649">
        <w:rPr>
          <w:rFonts w:asciiTheme="majorBidi" w:hAnsiTheme="majorBidi" w:cstheme="majorBidi"/>
        </w:rPr>
        <w:t>isinin bir gereği olarak</w:t>
      </w:r>
      <w:r w:rsidR="00E85B51">
        <w:rPr>
          <w:rFonts w:asciiTheme="majorBidi" w:hAnsiTheme="majorBidi" w:cstheme="majorBidi"/>
        </w:rPr>
        <w:t xml:space="preserve"> n</w:t>
      </w:r>
      <w:r w:rsidR="001C7CF0">
        <w:rPr>
          <w:rFonts w:asciiTheme="majorBidi" w:hAnsiTheme="majorBidi" w:cstheme="majorBidi"/>
        </w:rPr>
        <w:t>esnelerin tek bir doğasının olmadığını,</w:t>
      </w:r>
      <w:r w:rsidR="00E85B51">
        <w:rPr>
          <w:rFonts w:asciiTheme="majorBidi" w:hAnsiTheme="majorBidi" w:cstheme="majorBidi"/>
        </w:rPr>
        <w:t xml:space="preserve"> </w:t>
      </w:r>
      <w:r w:rsidR="001C7CF0">
        <w:rPr>
          <w:rFonts w:asciiTheme="majorBidi" w:hAnsiTheme="majorBidi" w:cstheme="majorBidi"/>
        </w:rPr>
        <w:t>n</w:t>
      </w:r>
      <w:r w:rsidR="00E85B51">
        <w:rPr>
          <w:rFonts w:asciiTheme="majorBidi" w:hAnsiTheme="majorBidi" w:cstheme="majorBidi"/>
        </w:rPr>
        <w:t>esnelerde</w:t>
      </w:r>
      <w:r w:rsidR="000C540D">
        <w:rPr>
          <w:rFonts w:asciiTheme="majorBidi" w:hAnsiTheme="majorBidi" w:cstheme="majorBidi"/>
        </w:rPr>
        <w:t xml:space="preserve"> sayısız miktarda doğa olduğunu ve </w:t>
      </w:r>
      <w:r w:rsidR="00BF71DD">
        <w:rPr>
          <w:rFonts w:asciiTheme="majorBidi" w:hAnsiTheme="majorBidi" w:cstheme="majorBidi"/>
        </w:rPr>
        <w:t xml:space="preserve">koşullara bağlı olarak bu doğaların ortaya çıktığını düşünür. Bu, bir nesneyi hiçbir zaman tam anlamıyla bilmenin mümkün olmadığı anlamına gelir. </w:t>
      </w:r>
      <w:r w:rsidR="00E46C2C">
        <w:rPr>
          <w:rFonts w:asciiTheme="majorBidi" w:hAnsiTheme="majorBidi" w:cstheme="majorBidi"/>
        </w:rPr>
        <w:t xml:space="preserve">Nesneleri bu şekilde düşündüğümüzde </w:t>
      </w:r>
      <w:r w:rsidR="009264AB">
        <w:rPr>
          <w:rFonts w:asciiTheme="majorBidi" w:hAnsiTheme="majorBidi" w:cstheme="majorBidi"/>
        </w:rPr>
        <w:t>konu edindiğimiz motto</w:t>
      </w:r>
      <w:r w:rsidR="007877FF">
        <w:rPr>
          <w:rFonts w:asciiTheme="majorBidi" w:hAnsiTheme="majorBidi" w:cstheme="majorBidi"/>
        </w:rPr>
        <w:t>daki “bilgi belki kendisinden bir parça verir” ifadesi de anlaşılmaktadır. Câhız bunun sebebi olarak kişinin ancak ihtiyaçlarına göre ve tecrübe ettiği kadar bir nesneyi bilebileceğimizi vurgular. Buna göre bir nesnenin özünü bilmek imkansız hale gelmekte ancak tecrübemize konu edindiği kadar bilinir olmaktadır. Câhız’ın bu bağlamda verdiği “bir sineğin kanatları” örneği çarpıcıdır. O, sineğin kanatlarıyla ilgili bilgileri verdikten sonra, ne yaparsak yapalım, sineğin kanatlarında anlaşılmayan noktaların hâlâ geriye kalacağını söylemektedir.</w:t>
      </w:r>
    </w:p>
    <w:p w14:paraId="0D0EC01C" w14:textId="3A4AA5B7" w:rsidR="00FF2097" w:rsidRDefault="007877FF" w:rsidP="00821F72">
      <w:pPr>
        <w:widowControl w:val="0"/>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t xml:space="preserve">Bilginin meydana gelişini işlemsel olarak düşünmeyen Câhız, bütünüyle önermelerden kurulu bir gidişatla sonuca varılabileceğini düşünmez. Bilginin </w:t>
      </w:r>
      <w:r w:rsidR="00FF2097">
        <w:rPr>
          <w:rFonts w:asciiTheme="majorBidi" w:hAnsiTheme="majorBidi" w:cstheme="majorBidi"/>
        </w:rPr>
        <w:t>tüm</w:t>
      </w:r>
      <w:r>
        <w:rPr>
          <w:rFonts w:asciiTheme="majorBidi" w:hAnsiTheme="majorBidi" w:cstheme="majorBidi"/>
        </w:rPr>
        <w:t xml:space="preserve"> bilişsel çabalardan sonra  </w:t>
      </w:r>
      <w:r w:rsidR="00FF2097">
        <w:rPr>
          <w:rFonts w:asciiTheme="majorBidi" w:hAnsiTheme="majorBidi" w:cstheme="majorBidi"/>
        </w:rPr>
        <w:t xml:space="preserve">ani olarak zihne hücum edercesine meydana geldiğini </w:t>
      </w:r>
      <w:r w:rsidR="00FF2097" w:rsidRPr="00FF2097">
        <w:rPr>
          <w:rFonts w:asciiTheme="majorBidi" w:hAnsiTheme="majorBidi" w:cstheme="majorBidi"/>
        </w:rPr>
        <w:t>düşünmektedir.</w:t>
      </w:r>
      <w:r w:rsidR="00FF2097" w:rsidRPr="00FF2097">
        <w:rPr>
          <w:rStyle w:val="DipnotBavurusu"/>
          <w:rFonts w:asciiTheme="majorBidi" w:hAnsiTheme="majorBidi" w:cstheme="majorBidi"/>
        </w:rPr>
        <w:footnoteReference w:id="16"/>
      </w:r>
      <w:r w:rsidR="00FF2097" w:rsidRPr="00FF2097">
        <w:rPr>
          <w:rFonts w:asciiTheme="majorBidi" w:hAnsiTheme="majorBidi" w:cstheme="majorBidi"/>
        </w:rPr>
        <w:t xml:space="preserve"> Dolayısıyla</w:t>
      </w:r>
      <w:r w:rsidR="00FF2097">
        <w:rPr>
          <w:rFonts w:asciiTheme="majorBidi" w:hAnsiTheme="majorBidi" w:cstheme="majorBidi"/>
        </w:rPr>
        <w:t xml:space="preserve"> bilme bir sezme olayı olarak kabul edilmektedir. Bunun anlamı şudur: Bilgi tümüyle çıkarımsal olmak anlamında rasyonel bir olay değildir, hesaplanamayan, tümüyle hakim olmadığımız duygusal süreçlerle birlikte bilme olayı gerçekleşmemektedir. Nitekim Câhız’ın aşağıdaki metninde bileme ve duygular arasındaki ilişki açıkça görülmektedir:</w:t>
      </w:r>
    </w:p>
    <w:p w14:paraId="711FD697" w14:textId="77777777" w:rsidR="00FF2097" w:rsidRPr="007E7EE2" w:rsidRDefault="00FF2097" w:rsidP="00FF2097">
      <w:pPr>
        <w:pStyle w:val="Alinti"/>
        <w:rPr>
          <w:color w:val="000000" w:themeColor="text1"/>
          <w:lang w:eastAsia="tr-TR"/>
        </w:rPr>
      </w:pPr>
      <w:r w:rsidRPr="007E7EE2">
        <w:rPr>
          <w:color w:val="000000" w:themeColor="text1"/>
          <w:lang w:eastAsia="tr-TR"/>
        </w:rPr>
        <w:t>Oluşanı hafızada korumadıkça, geleni kayıt altına almadıkça, henüz gelmeyenleri beklemedikçe, doğal dinlenme dışında kendini düşünmekten alıkoymamayı prensip edinmedikçe, dersi dinlemenin hafıza</w:t>
      </w:r>
      <w:r w:rsidRPr="007E7EE2">
        <w:rPr>
          <w:color w:val="000000" w:themeColor="text1"/>
          <w:lang w:eastAsia="tr-TR"/>
        </w:rPr>
        <w:fldChar w:fldCharType="begin"/>
      </w:r>
      <w:r w:rsidRPr="007E7EE2">
        <w:rPr>
          <w:color w:val="000000" w:themeColor="text1"/>
        </w:rPr>
        <w:instrText xml:space="preserve"> XE "</w:instrText>
      </w:r>
      <w:r w:rsidRPr="007E7EE2">
        <w:rPr>
          <w:color w:val="000000" w:themeColor="text1"/>
          <w:lang w:eastAsia="tr-TR"/>
        </w:rPr>
        <w:instrText>hafıza</w:instrText>
      </w:r>
      <w:r w:rsidRPr="007E7EE2">
        <w:rPr>
          <w:color w:val="000000" w:themeColor="text1"/>
        </w:rPr>
        <w:instrText xml:space="preserve">" </w:instrText>
      </w:r>
      <w:r w:rsidRPr="007E7EE2">
        <w:rPr>
          <w:color w:val="000000" w:themeColor="text1"/>
          <w:lang w:eastAsia="tr-TR"/>
        </w:rPr>
        <w:fldChar w:fldCharType="end"/>
      </w:r>
      <w:r w:rsidRPr="007E7EE2">
        <w:rPr>
          <w:color w:val="000000" w:themeColor="text1"/>
          <w:lang w:eastAsia="tr-TR"/>
        </w:rPr>
        <w:t xml:space="preserve"> altına almaya göre durumunun, hafızanın bilgiye göre durumu gibi olduğunu bilmedikçe, rekabet ve şöhret için bilme ile önemsendiği ve arzulandığı için bilme arasındaki farkı görmedikçe, tabiatını düzeltmek için bilgiye rağbet etmedikçe, özündeki hakikati artırmaya çalışmadıkça ve onu sıradanlıktan korumadıkça, bilgi gizliliklerini sana cömertçe vermez, seni sırlarına, sakladıklarına muttali kılmaz; tertemiz duygularla bilgiyi sevmedikçe o, sana tertemiz bilgeliği vermez. Bunun için denir ki: “Onunla hemhal olmadıkça o senin için hal olmaz.</w:t>
      </w:r>
      <w:r w:rsidRPr="007E7EE2">
        <w:rPr>
          <w:color w:val="000000" w:themeColor="text1"/>
          <w:vertAlign w:val="superscript"/>
          <w:lang w:eastAsia="tr-TR"/>
        </w:rPr>
        <w:footnoteReference w:id="17"/>
      </w:r>
    </w:p>
    <w:p w14:paraId="5CC42C3B" w14:textId="674A2E6F" w:rsidR="00FF2097" w:rsidRDefault="00D81FA5" w:rsidP="00FF2097">
      <w:pPr>
        <w:pStyle w:val="Alinti"/>
        <w:ind w:left="0"/>
        <w:rPr>
          <w:color w:val="000000" w:themeColor="text1"/>
          <w:lang w:eastAsia="tr-TR"/>
        </w:rPr>
      </w:pPr>
      <w:r>
        <w:rPr>
          <w:color w:val="000000" w:themeColor="text1"/>
          <w:lang w:eastAsia="tr-TR"/>
        </w:rPr>
        <w:t>Bu pasajın yanı sıra başka metinlerde de bilgi ve duygu arasındaki ilişki sıklıkla vurgulanır. Bazı metinlerde bilginin korku, arzu ya da umutla başladığı bazılarında ise şiddetli bir arzu olmadan bilgiye ulaşılmayacağı vurgulanır. Bu tür ifadelerin bilgi edinmeye teşvik için söylediği akla gelebilir. Câhız’ın epistemolojisini düşündüğümüzde, özellikle mantık yürütme (nazar ehli) tarafından kendisine yöneltilen eleştirileri düşündüğümüzde duygular ve bilme arasında kurulan ilişkinin salt bilime teşvik bağlamında olmadığı sonucuna varmaktayız. Bu pasaja tekrar dönecek olursak, onun çalışmamızın başında verdiğimiz mottoyla açık bir benzerlik taşıdığını görmekteyiz. Daha da önemli mottoda geçen “emin olmasan da” ifadelerinin nerelere işaret edebileceğini tahmin etmekteyiz. Duygun</w:t>
      </w:r>
      <w:r w:rsidR="00742AC5">
        <w:rPr>
          <w:color w:val="000000" w:themeColor="text1"/>
          <w:lang w:eastAsia="tr-TR"/>
        </w:rPr>
        <w:t>un</w:t>
      </w:r>
      <w:r>
        <w:rPr>
          <w:color w:val="000000" w:themeColor="text1"/>
          <w:lang w:eastAsia="tr-TR"/>
        </w:rPr>
        <w:t xml:space="preserve"> kaynaklık ettiği, bilme sürecine eşlik ettiği ve bilmenin nihayet bulduğu bir episte</w:t>
      </w:r>
      <w:r w:rsidR="00696463">
        <w:rPr>
          <w:color w:val="000000" w:themeColor="text1"/>
          <w:lang w:eastAsia="tr-TR"/>
        </w:rPr>
        <w:t>molojik sürecin sonucundan matematiksel bir kesinliğin varlığından söz edilemez. Çünkü tüm aşamalarda bilen-özne tüm yönleriyle sürecin içindedir. Bu sebeple de tüm yönlerin izah edilmesi de mümkün değildir.</w:t>
      </w:r>
    </w:p>
    <w:p w14:paraId="23E44665" w14:textId="076D6404" w:rsidR="00C3704D" w:rsidRDefault="00C3704D" w:rsidP="00FF2097">
      <w:pPr>
        <w:pStyle w:val="Alinti"/>
        <w:ind w:left="0"/>
        <w:rPr>
          <w:b/>
          <w:bCs/>
          <w:color w:val="000000" w:themeColor="text1"/>
          <w:lang w:eastAsia="tr-TR"/>
        </w:rPr>
      </w:pPr>
      <w:r>
        <w:rPr>
          <w:color w:val="000000" w:themeColor="text1"/>
          <w:lang w:eastAsia="tr-TR"/>
        </w:rPr>
        <w:tab/>
      </w:r>
      <w:r w:rsidRPr="00C3704D">
        <w:rPr>
          <w:b/>
          <w:bCs/>
          <w:color w:val="000000" w:themeColor="text1"/>
          <w:lang w:eastAsia="tr-TR"/>
        </w:rPr>
        <w:t>Sonuç</w:t>
      </w:r>
    </w:p>
    <w:p w14:paraId="3EF2F33D" w14:textId="45EE38BB" w:rsidR="00A33CFB" w:rsidRDefault="00C3704D" w:rsidP="00A33CFB">
      <w:pPr>
        <w:pStyle w:val="Alinti"/>
        <w:ind w:left="0"/>
        <w:rPr>
          <w:color w:val="000000" w:themeColor="text1"/>
          <w:lang w:eastAsia="tr-TR"/>
        </w:rPr>
      </w:pPr>
      <w:r w:rsidRPr="00C3704D">
        <w:rPr>
          <w:color w:val="000000" w:themeColor="text1"/>
          <w:lang w:eastAsia="tr-TR"/>
        </w:rPr>
        <w:t>Ba</w:t>
      </w:r>
      <w:r>
        <w:rPr>
          <w:color w:val="000000" w:themeColor="text1"/>
          <w:lang w:eastAsia="tr-TR"/>
        </w:rPr>
        <w:t xml:space="preserve">şta verilen Nazzam’ın mottosu ekseninde kaleme aldığımız bu çalışmada yaptığımız izahtan anlaşılıyor ki Nazzam bu sözü söylerken ve Câhız bu sözü söylerken bir slogan olarak söylememişlerdir. Bu sözün bir taraftan dönemin toplumsal bilinçdışıyla bir taraftan konulara yaklaşımıyla bir taraftan da onların epistemolojisiyle uygunluğu söz konusudur. </w:t>
      </w:r>
      <w:r w:rsidR="00A33CFB">
        <w:rPr>
          <w:color w:val="000000" w:themeColor="text1"/>
          <w:lang w:eastAsia="tr-TR"/>
        </w:rPr>
        <w:t xml:space="preserve">9. yüzyılın genel karakteri henüz </w:t>
      </w:r>
      <w:r>
        <w:rPr>
          <w:color w:val="000000" w:themeColor="text1"/>
          <w:lang w:eastAsia="tr-TR"/>
        </w:rPr>
        <w:t xml:space="preserve"> </w:t>
      </w:r>
      <w:r w:rsidR="00A33CFB">
        <w:rPr>
          <w:color w:val="000000" w:themeColor="text1"/>
          <w:lang w:eastAsia="tr-TR"/>
        </w:rPr>
        <w:t xml:space="preserve">genel ilke ve kuralların oluşmamasıdır. Henüz ekolleşmenin belirgin hale </w:t>
      </w:r>
      <w:r>
        <w:rPr>
          <w:color w:val="000000" w:themeColor="text1"/>
          <w:lang w:eastAsia="tr-TR"/>
        </w:rPr>
        <w:t xml:space="preserve"> </w:t>
      </w:r>
      <w:r w:rsidR="00A33CFB">
        <w:rPr>
          <w:color w:val="000000" w:themeColor="text1"/>
          <w:lang w:eastAsia="tr-TR"/>
        </w:rPr>
        <w:t>gelmemesidir. Bu sebeple onların bilme arzusu epistemik toplum/camaat tarafından belirlenen bir kemal arayışına bağlı olarak şekillenmiş değildir. Bu da hareketli bir bilinçdışını ve olumsallığı arttıran bir zihin halini oluşturmuştur. Nazzâm ve arkadaşlarının birçok alan üzerinden felsefe yapmaya çalışmaları da bu hareketliliği ve arzuyu göstermektedir. Diğer taraftan epistemolojik olarak da onlar bir nesnenin hakikatinin tümüyle bilinebileceğini savunmadılar, tecrübe edildiği kadar ve emin olunmayacak tarzda nesnelerin bilinebileceğini düşündüler. Bu da Nazzâm’ın mottosuyla epistemolojilerinin uyumlu olduğunu göstermektedir.</w:t>
      </w:r>
    </w:p>
    <w:p w14:paraId="096A3EEF" w14:textId="4BFD0D26" w:rsidR="00A33CFB" w:rsidRPr="00A33CFB" w:rsidRDefault="00A33CFB" w:rsidP="00A33CFB">
      <w:pPr>
        <w:pStyle w:val="Alinti"/>
        <w:ind w:left="0" w:firstLine="708"/>
        <w:rPr>
          <w:b/>
          <w:bCs/>
          <w:color w:val="000000" w:themeColor="text1"/>
          <w:lang w:eastAsia="tr-TR"/>
        </w:rPr>
      </w:pPr>
      <w:r w:rsidRPr="00A33CFB">
        <w:rPr>
          <w:b/>
          <w:bCs/>
          <w:color w:val="000000" w:themeColor="text1"/>
          <w:lang w:eastAsia="tr-TR"/>
        </w:rPr>
        <w:t>Kaynakça</w:t>
      </w:r>
    </w:p>
    <w:p w14:paraId="46D63113" w14:textId="5F3FEFCF" w:rsidR="00A33CFB" w:rsidRPr="00B37F4B" w:rsidRDefault="00A33CFB" w:rsidP="009648EA">
      <w:pPr>
        <w:pStyle w:val="Kaynakca"/>
        <w:ind w:left="0" w:firstLine="0"/>
      </w:pPr>
    </w:p>
    <w:p w14:paraId="3973F17D" w14:textId="77777777" w:rsidR="00A33CFB" w:rsidRPr="00B37F4B" w:rsidRDefault="00A33CFB" w:rsidP="00A33CFB">
      <w:pPr>
        <w:pStyle w:val="Kaynakca"/>
      </w:pPr>
      <w:r>
        <w:t>Câhız, Amr b. Bahr,</w:t>
      </w:r>
      <w:r w:rsidRPr="00B37F4B">
        <w:rPr>
          <w:i/>
          <w:iCs/>
        </w:rPr>
        <w:t xml:space="preserve"> </w:t>
      </w:r>
      <w:r>
        <w:rPr>
          <w:i/>
          <w:iCs/>
        </w:rPr>
        <w:t>Kitâbü’l-</w:t>
      </w:r>
      <w:r w:rsidRPr="00B37F4B">
        <w:rPr>
          <w:i/>
          <w:iCs/>
        </w:rPr>
        <w:t>Hayevân</w:t>
      </w:r>
      <w:r>
        <w:t>,</w:t>
      </w:r>
      <w:r w:rsidRPr="00B37F4B">
        <w:rPr>
          <w:i/>
          <w:iCs/>
        </w:rPr>
        <w:t xml:space="preserve"> </w:t>
      </w:r>
      <w:r>
        <w:t>nşr</w:t>
      </w:r>
      <w:r w:rsidRPr="00B37F4B">
        <w:t>.</w:t>
      </w:r>
      <w:r w:rsidRPr="00B37F4B">
        <w:rPr>
          <w:i/>
          <w:iCs/>
        </w:rPr>
        <w:t xml:space="preserve"> </w:t>
      </w:r>
      <w:r w:rsidRPr="00B37F4B">
        <w:t>Abd</w:t>
      </w:r>
      <w:r>
        <w:t>ü</w:t>
      </w:r>
      <w:r w:rsidRPr="00B37F4B">
        <w:t>ssel</w:t>
      </w:r>
      <w:r>
        <w:t>â</w:t>
      </w:r>
      <w:r w:rsidRPr="00B37F4B">
        <w:t xml:space="preserve">m </w:t>
      </w:r>
      <w:r>
        <w:t xml:space="preserve">Hârûn, Kahire: </w:t>
      </w:r>
      <w:r w:rsidRPr="00AC117F">
        <w:t>Cem‘iyyetü’r-ri‘âyeti’l-</w:t>
      </w:r>
      <w:r>
        <w:t>m</w:t>
      </w:r>
      <w:r w:rsidRPr="00B37F4B">
        <w:t>ütekâmile, 2004.</w:t>
      </w:r>
    </w:p>
    <w:p w14:paraId="24366389" w14:textId="77777777" w:rsidR="00A33CFB" w:rsidRDefault="00A33CFB" w:rsidP="00A33CFB">
      <w:pPr>
        <w:pStyle w:val="Kaynakca"/>
      </w:pPr>
      <w:r>
        <w:t>–––––––––,</w:t>
      </w:r>
      <w:r w:rsidRPr="00B37F4B">
        <w:t xml:space="preserve"> “Kitâb</w:t>
      </w:r>
      <w:r>
        <w:t>ü</w:t>
      </w:r>
      <w:r w:rsidRPr="00B37F4B">
        <w:t>’l-Mes’âil ve’l-</w:t>
      </w:r>
      <w:r>
        <w:t>c</w:t>
      </w:r>
      <w:r w:rsidRPr="00B37F4B">
        <w:t>evâbât fi’l-</w:t>
      </w:r>
      <w:r>
        <w:t>m</w:t>
      </w:r>
      <w:r w:rsidRPr="00B37F4B">
        <w:t xml:space="preserve">a‘rife”, </w:t>
      </w:r>
      <w:r w:rsidRPr="00B37F4B">
        <w:rPr>
          <w:i/>
        </w:rPr>
        <w:t>Resâ</w:t>
      </w:r>
      <w:r>
        <w:rPr>
          <w:i/>
        </w:rPr>
        <w:t>’</w:t>
      </w:r>
      <w:r w:rsidRPr="00B37F4B">
        <w:rPr>
          <w:i/>
        </w:rPr>
        <w:t>il</w:t>
      </w:r>
      <w:r>
        <w:rPr>
          <w:i/>
        </w:rPr>
        <w:t>ü’l-Câhız: el-K</w:t>
      </w:r>
      <w:r w:rsidRPr="00B37F4B">
        <w:rPr>
          <w:i/>
        </w:rPr>
        <w:t>elâmiyye</w:t>
      </w:r>
      <w:r>
        <w:rPr>
          <w:iCs/>
        </w:rPr>
        <w:t xml:space="preserve"> içinde, </w:t>
      </w:r>
      <w:r>
        <w:t>nşr</w:t>
      </w:r>
      <w:r w:rsidRPr="00B37F4B">
        <w:t>. Ali Bû M</w:t>
      </w:r>
      <w:r>
        <w:t>ü</w:t>
      </w:r>
      <w:r w:rsidRPr="00B37F4B">
        <w:t>lhim</w:t>
      </w:r>
      <w:r>
        <w:t xml:space="preserve">, </w:t>
      </w:r>
      <w:r w:rsidRPr="00B37F4B">
        <w:t>Beyrut</w:t>
      </w:r>
      <w:r>
        <w:t>: Dâr ve m</w:t>
      </w:r>
      <w:r w:rsidRPr="00B37F4B">
        <w:t>ektebet</w:t>
      </w:r>
      <w:r>
        <w:t>ü’l-hilâl, 2004,</w:t>
      </w:r>
      <w:r w:rsidRPr="00D110EA">
        <w:t xml:space="preserve"> </w:t>
      </w:r>
      <w:r>
        <w:t>107-120.</w:t>
      </w:r>
    </w:p>
    <w:p w14:paraId="7B7AC477" w14:textId="77777777" w:rsidR="00A33CFB" w:rsidRDefault="00A33CFB" w:rsidP="00A33CFB">
      <w:pPr>
        <w:pStyle w:val="Kaynakca"/>
      </w:pPr>
      <w:r>
        <w:t>–––––––––,</w:t>
      </w:r>
      <w:r w:rsidRPr="00B37F4B">
        <w:t xml:space="preserve"> “Kitâb</w:t>
      </w:r>
      <w:r>
        <w:t xml:space="preserve">ü’t-Terbî‘ </w:t>
      </w:r>
      <w:r w:rsidRPr="00B37F4B">
        <w:t>ve’t-</w:t>
      </w:r>
      <w:r>
        <w:t>t</w:t>
      </w:r>
      <w:r w:rsidRPr="00B37F4B">
        <w:t>edvîr”</w:t>
      </w:r>
      <w:r>
        <w:t>,</w:t>
      </w:r>
      <w:r>
        <w:rPr>
          <w:iCs/>
        </w:rPr>
        <w:t xml:space="preserve"> </w:t>
      </w:r>
      <w:r w:rsidRPr="00B37F4B">
        <w:rPr>
          <w:i/>
        </w:rPr>
        <w:t>Resâ</w:t>
      </w:r>
      <w:r>
        <w:rPr>
          <w:i/>
        </w:rPr>
        <w:t>’</w:t>
      </w:r>
      <w:r w:rsidRPr="00B37F4B">
        <w:rPr>
          <w:i/>
        </w:rPr>
        <w:t>il</w:t>
      </w:r>
      <w:r>
        <w:rPr>
          <w:i/>
        </w:rPr>
        <w:t>ü</w:t>
      </w:r>
      <w:r w:rsidRPr="00B37F4B">
        <w:rPr>
          <w:i/>
        </w:rPr>
        <w:t>’l-</w:t>
      </w:r>
      <w:r>
        <w:rPr>
          <w:i/>
        </w:rPr>
        <w:t>Câhız</w:t>
      </w:r>
      <w:r w:rsidRPr="00B37F4B">
        <w:rPr>
          <w:i/>
        </w:rPr>
        <w:t xml:space="preserve"> </w:t>
      </w:r>
      <w:r>
        <w:rPr>
          <w:iCs/>
        </w:rPr>
        <w:t xml:space="preserve">içinde, </w:t>
      </w:r>
      <w:r>
        <w:t>nşr</w:t>
      </w:r>
      <w:r w:rsidRPr="00B37F4B">
        <w:t xml:space="preserve">. </w:t>
      </w:r>
      <w:r>
        <w:t>Abdüsselâm</w:t>
      </w:r>
      <w:r w:rsidRPr="00B37F4B">
        <w:t xml:space="preserve"> Muhammed Hârûn</w:t>
      </w:r>
      <w:r>
        <w:t>, Beyrut: Dâru’l-cîl</w:t>
      </w:r>
      <w:r w:rsidRPr="00B37F4B">
        <w:t>,</w:t>
      </w:r>
      <w:r>
        <w:t xml:space="preserve"> 1991,</w:t>
      </w:r>
      <w:r w:rsidRPr="00224025">
        <w:t xml:space="preserve"> </w:t>
      </w:r>
      <w:r>
        <w:t>III, 55-112.</w:t>
      </w:r>
    </w:p>
    <w:p w14:paraId="17EA859D" w14:textId="77777777" w:rsidR="00A33CFB" w:rsidRPr="00B37F4B" w:rsidRDefault="00A33CFB" w:rsidP="00A33CFB">
      <w:pPr>
        <w:pStyle w:val="Kaynakca"/>
      </w:pPr>
      <w:r>
        <w:t>–––––––––,</w:t>
      </w:r>
      <w:r w:rsidRPr="00B37F4B">
        <w:t xml:space="preserve"> “Hücecü’n-</w:t>
      </w:r>
      <w:r>
        <w:t>n</w:t>
      </w:r>
      <w:r w:rsidRPr="00B37F4B">
        <w:t>übüvve”</w:t>
      </w:r>
      <w:r>
        <w:t>,</w:t>
      </w:r>
      <w:r w:rsidRPr="00D52F03">
        <w:rPr>
          <w:i/>
        </w:rPr>
        <w:t xml:space="preserve"> </w:t>
      </w:r>
      <w:r w:rsidRPr="00B37F4B">
        <w:rPr>
          <w:i/>
        </w:rPr>
        <w:t>Resâ</w:t>
      </w:r>
      <w:r>
        <w:rPr>
          <w:i/>
        </w:rPr>
        <w:t>’</w:t>
      </w:r>
      <w:r w:rsidRPr="00B37F4B">
        <w:rPr>
          <w:i/>
        </w:rPr>
        <w:t>il</w:t>
      </w:r>
      <w:r>
        <w:rPr>
          <w:i/>
        </w:rPr>
        <w:t>ü</w:t>
      </w:r>
      <w:r w:rsidRPr="00B37F4B">
        <w:rPr>
          <w:i/>
        </w:rPr>
        <w:t>’l-</w:t>
      </w:r>
      <w:r>
        <w:rPr>
          <w:i/>
        </w:rPr>
        <w:t>Câhız</w:t>
      </w:r>
      <w:r w:rsidRPr="00B37F4B">
        <w:rPr>
          <w:i/>
        </w:rPr>
        <w:t xml:space="preserve"> </w:t>
      </w:r>
      <w:r>
        <w:rPr>
          <w:iCs/>
        </w:rPr>
        <w:t xml:space="preserve">içinde, </w:t>
      </w:r>
      <w:r>
        <w:t>nşr</w:t>
      </w:r>
      <w:r w:rsidRPr="00B37F4B">
        <w:t xml:space="preserve">. </w:t>
      </w:r>
      <w:r>
        <w:t>Abdüsselâm</w:t>
      </w:r>
      <w:r w:rsidRPr="00B37F4B">
        <w:t xml:space="preserve"> Muhammed Hârûn</w:t>
      </w:r>
      <w:r>
        <w:t>, Beyrut: Dâru’l-cîl</w:t>
      </w:r>
      <w:r w:rsidRPr="00B37F4B">
        <w:t>,</w:t>
      </w:r>
      <w:r>
        <w:t xml:space="preserve"> 1991,</w:t>
      </w:r>
      <w:r w:rsidRPr="00224025">
        <w:t xml:space="preserve"> </w:t>
      </w:r>
      <w:r>
        <w:t>III, 221-228.</w:t>
      </w:r>
    </w:p>
    <w:p w14:paraId="4C7B8742" w14:textId="77777777" w:rsidR="009648EA" w:rsidRDefault="00A33CFB" w:rsidP="009648EA">
      <w:pPr>
        <w:pStyle w:val="Kaynakca"/>
      </w:pPr>
      <w:r>
        <w:t>–––––––––,</w:t>
      </w:r>
      <w:r w:rsidRPr="00B37F4B">
        <w:t xml:space="preserve"> </w:t>
      </w:r>
      <w:r w:rsidRPr="00CB7911">
        <w:rPr>
          <w:i/>
          <w:iCs/>
        </w:rPr>
        <w:t>Mu‘tezile’de Eylem Teorisi: Kâdî Abdülcebbâr</w:t>
      </w:r>
      <w:r>
        <w:rPr>
          <w:i/>
          <w:iCs/>
        </w:rPr>
        <w:fldChar w:fldCharType="begin"/>
      </w:r>
      <w:r>
        <w:instrText xml:space="preserve"> XE "</w:instrText>
      </w:r>
      <w:r w:rsidRPr="005E2EDD">
        <w:instrText>Kâdî Abdülcebbâr</w:instrText>
      </w:r>
      <w:r>
        <w:instrText xml:space="preserve">" </w:instrText>
      </w:r>
      <w:r>
        <w:rPr>
          <w:i/>
          <w:iCs/>
        </w:rPr>
        <w:fldChar w:fldCharType="end"/>
      </w:r>
      <w:r w:rsidRPr="00CB7911">
        <w:rPr>
          <w:i/>
          <w:iCs/>
        </w:rPr>
        <w:t xml:space="preserve"> Örneği</w:t>
      </w:r>
      <w:r>
        <w:rPr>
          <w:iCs/>
        </w:rPr>
        <w:t>,</w:t>
      </w:r>
      <w:r w:rsidRPr="00B37F4B">
        <w:t xml:space="preserve"> </w:t>
      </w:r>
      <w:r>
        <w:t xml:space="preserve">İstanbul: </w:t>
      </w:r>
      <w:r w:rsidRPr="00B37F4B">
        <w:t xml:space="preserve">Düşün </w:t>
      </w:r>
      <w:r>
        <w:t>Yayınları</w:t>
      </w:r>
      <w:r w:rsidRPr="00B37F4B">
        <w:t>, 2012.</w:t>
      </w:r>
    </w:p>
    <w:p w14:paraId="3FC3D838" w14:textId="77777777" w:rsidR="007E7EE2" w:rsidRDefault="009648EA" w:rsidP="007E7EE2">
      <w:pPr>
        <w:pStyle w:val="Kaynakca"/>
        <w:rPr>
          <w:rFonts w:asciiTheme="majorBidi" w:hAnsiTheme="majorBidi" w:cstheme="majorBidi"/>
          <w:color w:val="3A3A3A"/>
          <w:sz w:val="24"/>
        </w:rPr>
      </w:pPr>
      <w:r w:rsidRPr="007E7EE2">
        <w:rPr>
          <w:rFonts w:asciiTheme="majorBidi" w:hAnsiTheme="majorBidi" w:cstheme="majorBidi"/>
          <w:sz w:val="24"/>
        </w:rPr>
        <w:t xml:space="preserve">Cengiz, Yunus, </w:t>
      </w:r>
      <w:r w:rsidRPr="007E7EE2">
        <w:rPr>
          <w:rFonts w:asciiTheme="majorBidi" w:hAnsiTheme="majorBidi" w:cstheme="majorBidi"/>
          <w:color w:val="3A3A3A"/>
          <w:sz w:val="24"/>
        </w:rPr>
        <w:t xml:space="preserve">“Mu‘tezile’nin İnsan Düşüncesinde Rakip İki Tasavvur: Ebü’l-Hüzeyl ve Nazzâm Gelenekleri” </w:t>
      </w:r>
      <w:r w:rsidRPr="007E7EE2">
        <w:rPr>
          <w:rFonts w:asciiTheme="majorBidi" w:hAnsiTheme="majorBidi" w:cstheme="majorBidi"/>
          <w:i/>
          <w:iCs/>
          <w:color w:val="3A3A3A"/>
          <w:sz w:val="24"/>
        </w:rPr>
        <w:t>Nazariyat İslam Felsefe ve bilim Tarihi Araştırmaları Dergisi</w:t>
      </w:r>
      <w:r w:rsidRPr="007E7EE2">
        <w:rPr>
          <w:rFonts w:asciiTheme="majorBidi" w:hAnsiTheme="majorBidi" w:cstheme="majorBidi"/>
          <w:color w:val="3A3A3A"/>
          <w:sz w:val="24"/>
        </w:rPr>
        <w:t>, 4:2 (2018), 55-72.</w:t>
      </w:r>
    </w:p>
    <w:p w14:paraId="1D62C809" w14:textId="0112262C" w:rsidR="007E7EE2" w:rsidRPr="007E7EE2" w:rsidRDefault="007E7EE2" w:rsidP="007E7EE2">
      <w:pPr>
        <w:pStyle w:val="Kaynakca"/>
        <w:rPr>
          <w:rFonts w:asciiTheme="majorBidi" w:hAnsiTheme="majorBidi" w:cstheme="majorBidi"/>
          <w:color w:val="3A3A3A"/>
          <w:sz w:val="24"/>
        </w:rPr>
      </w:pPr>
      <w:r>
        <w:t>–––––––––,</w:t>
      </w:r>
      <w:r w:rsidRPr="007E7EE2">
        <w:rPr>
          <w:rFonts w:eastAsia="Times New Roman"/>
          <w:sz w:val="24"/>
        </w:rPr>
        <w:t xml:space="preserve"> </w:t>
      </w:r>
      <w:r w:rsidRPr="007E7EE2">
        <w:rPr>
          <w:rFonts w:eastAsia="Times New Roman"/>
          <w:i/>
          <w:sz w:val="24"/>
        </w:rPr>
        <w:t>Doğa ve Öznellik Câhız’ın Ahlâk Düşüncesi,</w:t>
      </w:r>
      <w:r w:rsidRPr="007E7EE2">
        <w:rPr>
          <w:rFonts w:eastAsia="Times New Roman"/>
          <w:sz w:val="24"/>
        </w:rPr>
        <w:t xml:space="preserve"> Klasik Yayınları, İstanbul, 2015. </w:t>
      </w:r>
    </w:p>
    <w:p w14:paraId="4152B7D2" w14:textId="77777777" w:rsidR="007E7EE2" w:rsidRPr="007E7EE2" w:rsidRDefault="007E7EE2" w:rsidP="009648EA">
      <w:pPr>
        <w:pStyle w:val="Kaynakca"/>
        <w:rPr>
          <w:sz w:val="24"/>
        </w:rPr>
      </w:pPr>
    </w:p>
    <w:p w14:paraId="7514C6BB" w14:textId="77777777" w:rsidR="00A33CFB" w:rsidRDefault="00A33CFB" w:rsidP="00A33CFB">
      <w:pPr>
        <w:pStyle w:val="Kaynakca"/>
      </w:pPr>
      <w:r w:rsidRPr="00B37F4B">
        <w:t xml:space="preserve">Ebû Rîde, </w:t>
      </w:r>
      <w:r>
        <w:t xml:space="preserve">Muhammed </w:t>
      </w:r>
      <w:r w:rsidRPr="00B37F4B">
        <w:t>Abd</w:t>
      </w:r>
      <w:r>
        <w:t>ülhâdî,</w:t>
      </w:r>
      <w:r w:rsidRPr="00B37F4B">
        <w:t xml:space="preserve"> </w:t>
      </w:r>
      <w:r>
        <w:rPr>
          <w:i/>
          <w:iCs/>
        </w:rPr>
        <w:t>Min ş</w:t>
      </w:r>
      <w:r w:rsidRPr="00182B95">
        <w:rPr>
          <w:i/>
          <w:iCs/>
        </w:rPr>
        <w:t>üyûhi’l-Mu‘tezile İbrâhîm b. Seyyâr en-Nazzâm</w:t>
      </w:r>
      <w:r>
        <w:rPr>
          <w:i/>
          <w:iCs/>
        </w:rPr>
        <w:fldChar w:fldCharType="begin"/>
      </w:r>
      <w:r>
        <w:instrText xml:space="preserve"> XE "</w:instrText>
      </w:r>
      <w:r w:rsidRPr="005E2EDD">
        <w:rPr>
          <w:rFonts w:eastAsia="Cambria"/>
        </w:rPr>
        <w:instrText>Nazzâm</w:instrText>
      </w:r>
      <w:r>
        <w:instrText xml:space="preserve">" </w:instrText>
      </w:r>
      <w:r>
        <w:rPr>
          <w:i/>
          <w:iCs/>
        </w:rPr>
        <w:fldChar w:fldCharType="end"/>
      </w:r>
      <w:r w:rsidRPr="00182B95">
        <w:rPr>
          <w:i/>
          <w:iCs/>
        </w:rPr>
        <w:t xml:space="preserve"> ve ârâühü’l-kelâmiyye </w:t>
      </w:r>
      <w:r w:rsidRPr="00AC117F">
        <w:rPr>
          <w:i/>
          <w:iCs/>
        </w:rPr>
        <w:t>el-felsefiyye</w:t>
      </w:r>
      <w:r>
        <w:t>,</w:t>
      </w:r>
      <w:r w:rsidRPr="00B37F4B">
        <w:t xml:space="preserve"> </w:t>
      </w:r>
      <w:r>
        <w:t xml:space="preserve">Kahire: </w:t>
      </w:r>
      <w:r w:rsidRPr="00B37F4B">
        <w:t>Lecnet</w:t>
      </w:r>
      <w:r>
        <w:t>ü</w:t>
      </w:r>
      <w:r w:rsidRPr="00B37F4B">
        <w:t>’t-</w:t>
      </w:r>
      <w:r>
        <w:t>t</w:t>
      </w:r>
      <w:r w:rsidRPr="00B37F4B">
        <w:t>e</w:t>
      </w:r>
      <w:r>
        <w:t>’</w:t>
      </w:r>
      <w:r w:rsidRPr="00B37F4B">
        <w:t>l</w:t>
      </w:r>
      <w:r>
        <w:t>i</w:t>
      </w:r>
      <w:r w:rsidRPr="00B37F4B">
        <w:t>f, 1946.</w:t>
      </w:r>
    </w:p>
    <w:p w14:paraId="0E4949CE" w14:textId="77777777" w:rsidR="00A33CFB" w:rsidRPr="00B37F4B" w:rsidRDefault="00A33CFB" w:rsidP="00A33CFB">
      <w:pPr>
        <w:pStyle w:val="Kaynakca"/>
      </w:pPr>
      <w:r w:rsidRPr="00B37F4B">
        <w:t>Eş‘arî, Eb</w:t>
      </w:r>
      <w:r>
        <w:t>ü’l-Hasan,</w:t>
      </w:r>
      <w:r w:rsidRPr="00B37F4B">
        <w:t xml:space="preserve"> </w:t>
      </w:r>
      <w:r w:rsidRPr="00B37F4B">
        <w:rPr>
          <w:i/>
        </w:rPr>
        <w:t>Makâlâtü’l-İslâmiyyîn</w:t>
      </w:r>
      <w:r>
        <w:rPr>
          <w:iCs/>
        </w:rPr>
        <w:t>,</w:t>
      </w:r>
      <w:r w:rsidRPr="00B37F4B">
        <w:rPr>
          <w:i/>
        </w:rPr>
        <w:t xml:space="preserve"> </w:t>
      </w:r>
      <w:r>
        <w:t>nşr</w:t>
      </w:r>
      <w:r w:rsidRPr="00B37F4B">
        <w:t>. Nevâf el-Cerrâh</w:t>
      </w:r>
      <w:r>
        <w:t xml:space="preserve">, Beyrut: </w:t>
      </w:r>
      <w:r w:rsidRPr="00B37F4B">
        <w:t>Dâr</w:t>
      </w:r>
      <w:r>
        <w:t>u</w:t>
      </w:r>
      <w:r w:rsidRPr="00B37F4B">
        <w:t xml:space="preserve"> Sâd</w:t>
      </w:r>
      <w:r>
        <w:t>ı</w:t>
      </w:r>
      <w:r w:rsidRPr="00B37F4B">
        <w:t>r, 2008.</w:t>
      </w:r>
    </w:p>
    <w:p w14:paraId="6A86BCCC" w14:textId="77777777" w:rsidR="00A33CFB" w:rsidRPr="00B37F4B" w:rsidRDefault="00A33CFB" w:rsidP="00A33CFB">
      <w:pPr>
        <w:pStyle w:val="Kaynakca"/>
      </w:pPr>
      <w:r w:rsidRPr="00B37F4B">
        <w:t>Gutas, Dimitri</w:t>
      </w:r>
      <w:r>
        <w:t>,</w:t>
      </w:r>
      <w:r w:rsidRPr="00B37F4B">
        <w:t xml:space="preserve"> “Arapçaya Tercüme Edilen Yunanca Felsefî Eserler”</w:t>
      </w:r>
      <w:r>
        <w:t>,</w:t>
      </w:r>
      <w:r w:rsidRPr="00B37F4B">
        <w:t xml:space="preserve"> </w:t>
      </w:r>
      <w:r>
        <w:t xml:space="preserve">çev. İbrahim Halil Üçer, </w:t>
      </w:r>
      <w:r w:rsidRPr="006A642C">
        <w:rPr>
          <w:i/>
          <w:iCs/>
        </w:rPr>
        <w:t>İslam Felsefesi Tarih ve Problemler</w:t>
      </w:r>
      <w:r>
        <w:t xml:space="preserve"> içinde</w:t>
      </w:r>
      <w:r w:rsidRPr="00B37F4B">
        <w:t>, ed. M. Cüneyt Kaya,</w:t>
      </w:r>
      <w:r>
        <w:t xml:space="preserve"> İstanbul: İSAM Yayınları, 2013,</w:t>
      </w:r>
      <w:r w:rsidRPr="00506F09">
        <w:t xml:space="preserve"> </w:t>
      </w:r>
      <w:r>
        <w:t>777-797.</w:t>
      </w:r>
    </w:p>
    <w:p w14:paraId="4E05C104" w14:textId="77777777" w:rsidR="00A33CFB" w:rsidRPr="00B37F4B" w:rsidRDefault="00A33CFB" w:rsidP="00A33CFB">
      <w:pPr>
        <w:pStyle w:val="Kaynakca"/>
      </w:pPr>
      <w:r>
        <w:t xml:space="preserve">–––––––––, </w:t>
      </w:r>
      <w:r w:rsidRPr="006A642C">
        <w:rPr>
          <w:i/>
          <w:iCs/>
        </w:rPr>
        <w:t>Yunanca Düşünce Arapça Kültür: Bağdat’ta Yunanca-Arapça Çeviri Hareketi ve Erken Abbasi Toplumu</w:t>
      </w:r>
      <w:r>
        <w:t xml:space="preserve">, çev. Lütfü Şimşek, İstanbul: </w:t>
      </w:r>
      <w:r w:rsidRPr="00B37F4B">
        <w:t xml:space="preserve">Kitap </w:t>
      </w:r>
      <w:r>
        <w:t>Yayınevi</w:t>
      </w:r>
      <w:r w:rsidRPr="00B37F4B">
        <w:t>, 2015.</w:t>
      </w:r>
    </w:p>
    <w:p w14:paraId="43525640" w14:textId="77777777" w:rsidR="00A33CFB" w:rsidRPr="00B37F4B" w:rsidRDefault="00A33CFB" w:rsidP="00A33CFB">
      <w:pPr>
        <w:pStyle w:val="Kaynakca"/>
      </w:pPr>
      <w:r w:rsidRPr="00B37F4B">
        <w:t>Ka‘bî, Eb</w:t>
      </w:r>
      <w:r>
        <w:t>ü’l-</w:t>
      </w:r>
      <w:r w:rsidRPr="00B37F4B">
        <w:t>K</w:t>
      </w:r>
      <w:r>
        <w:t>âsım, “Bâbü zikri’l-Mu‘tezile min makâlâti’l-İ</w:t>
      </w:r>
      <w:r w:rsidRPr="00B37F4B">
        <w:t>sl</w:t>
      </w:r>
      <w:r>
        <w:t>â</w:t>
      </w:r>
      <w:r w:rsidRPr="00B37F4B">
        <w:t>miyy</w:t>
      </w:r>
      <w:r>
        <w:t>î</w:t>
      </w:r>
      <w:r w:rsidRPr="00B37F4B">
        <w:t xml:space="preserve">n”, </w:t>
      </w:r>
      <w:r w:rsidRPr="00B37F4B">
        <w:rPr>
          <w:i/>
          <w:iCs/>
        </w:rPr>
        <w:t>Fa</w:t>
      </w:r>
      <w:r>
        <w:rPr>
          <w:i/>
          <w:iCs/>
        </w:rPr>
        <w:t>z</w:t>
      </w:r>
      <w:r w:rsidRPr="00B37F4B">
        <w:rPr>
          <w:i/>
          <w:iCs/>
        </w:rPr>
        <w:t>l</w:t>
      </w:r>
      <w:r>
        <w:rPr>
          <w:i/>
          <w:iCs/>
        </w:rPr>
        <w:t>ü</w:t>
      </w:r>
      <w:r w:rsidRPr="00B37F4B">
        <w:rPr>
          <w:i/>
          <w:iCs/>
        </w:rPr>
        <w:t>’l-</w:t>
      </w:r>
      <w:r>
        <w:rPr>
          <w:i/>
          <w:iCs/>
        </w:rPr>
        <w:t>i</w:t>
      </w:r>
      <w:r w:rsidRPr="00B37F4B">
        <w:rPr>
          <w:i/>
          <w:iCs/>
        </w:rPr>
        <w:t xml:space="preserve">‘tizâl ve </w:t>
      </w:r>
      <w:r>
        <w:rPr>
          <w:i/>
          <w:iCs/>
        </w:rPr>
        <w:t>Taba</w:t>
      </w:r>
      <w:r w:rsidRPr="00B37F4B">
        <w:rPr>
          <w:i/>
          <w:iCs/>
        </w:rPr>
        <w:t>kât</w:t>
      </w:r>
      <w:r>
        <w:rPr>
          <w:i/>
          <w:iCs/>
        </w:rPr>
        <w:t>ü</w:t>
      </w:r>
      <w:r w:rsidRPr="00B37F4B">
        <w:rPr>
          <w:i/>
          <w:iCs/>
        </w:rPr>
        <w:t>’l-Mu</w:t>
      </w:r>
      <w:r>
        <w:rPr>
          <w:i/>
          <w:iCs/>
        </w:rPr>
        <w:t>‘</w:t>
      </w:r>
      <w:r w:rsidRPr="00B37F4B">
        <w:rPr>
          <w:i/>
          <w:iCs/>
        </w:rPr>
        <w:t>tezile</w:t>
      </w:r>
      <w:r>
        <w:rPr>
          <w:i/>
          <w:iCs/>
        </w:rPr>
        <w:t xml:space="preserve"> </w:t>
      </w:r>
      <w:r>
        <w:t>içinde,</w:t>
      </w:r>
      <w:r w:rsidRPr="00B37F4B">
        <w:t xml:space="preserve"> </w:t>
      </w:r>
      <w:r>
        <w:t>nşr. Fuad Seyyid</w:t>
      </w:r>
      <w:r w:rsidRPr="00B37F4B">
        <w:t>,</w:t>
      </w:r>
      <w:r>
        <w:t xml:space="preserve"> Tunus: </w:t>
      </w:r>
      <w:r w:rsidRPr="00B37F4B">
        <w:t>ed-Dâr</w:t>
      </w:r>
      <w:r>
        <w:t>u</w:t>
      </w:r>
      <w:r w:rsidRPr="00B37F4B">
        <w:t>’t-Tûnusiyye li’n-</w:t>
      </w:r>
      <w:r>
        <w:t>neşr, 1986,</w:t>
      </w:r>
      <w:r w:rsidRPr="00395ABF">
        <w:t xml:space="preserve"> </w:t>
      </w:r>
      <w:r>
        <w:t>63-119.</w:t>
      </w:r>
    </w:p>
    <w:p w14:paraId="0EE3DE55" w14:textId="77777777" w:rsidR="007E7EE2" w:rsidRDefault="00A33CFB" w:rsidP="007E7EE2">
      <w:pPr>
        <w:pStyle w:val="Kaynakca"/>
      </w:pPr>
      <w:r w:rsidRPr="00B37F4B">
        <w:t>Pell</w:t>
      </w:r>
      <w:r>
        <w:t>a</w:t>
      </w:r>
      <w:r w:rsidRPr="00B37F4B">
        <w:t>t, Ch</w:t>
      </w:r>
      <w:r>
        <w:t>arles,</w:t>
      </w:r>
      <w:r w:rsidRPr="00B37F4B">
        <w:t xml:space="preserve"> </w:t>
      </w:r>
      <w:r>
        <w:rPr>
          <w:i/>
        </w:rPr>
        <w:t>e</w:t>
      </w:r>
      <w:r w:rsidRPr="00B37F4B">
        <w:rPr>
          <w:i/>
        </w:rPr>
        <w:t>l</w:t>
      </w:r>
      <w:r>
        <w:rPr>
          <w:i/>
        </w:rPr>
        <w:t>-Câhız f</w:t>
      </w:r>
      <w:r w:rsidRPr="003F5E46">
        <w:rPr>
          <w:i/>
        </w:rPr>
        <w:t>i</w:t>
      </w:r>
      <w:r>
        <w:rPr>
          <w:i/>
        </w:rPr>
        <w:t>’</w:t>
      </w:r>
      <w:r w:rsidRPr="003F5E46">
        <w:rPr>
          <w:i/>
        </w:rPr>
        <w:t>l-Basra ve Bağd</w:t>
      </w:r>
      <w:r>
        <w:rPr>
          <w:i/>
        </w:rPr>
        <w:t>â</w:t>
      </w:r>
      <w:r w:rsidRPr="003F5E46">
        <w:rPr>
          <w:i/>
        </w:rPr>
        <w:t>d ve Samarra</w:t>
      </w:r>
      <w:r>
        <w:rPr>
          <w:iCs/>
        </w:rPr>
        <w:t>,</w:t>
      </w:r>
      <w:r w:rsidRPr="00B37F4B">
        <w:rPr>
          <w:i/>
        </w:rPr>
        <w:t xml:space="preserve"> </w:t>
      </w:r>
      <w:r w:rsidRPr="00B37F4B">
        <w:t>çev. İbr</w:t>
      </w:r>
      <w:r>
        <w:t>â</w:t>
      </w:r>
      <w:r w:rsidRPr="00B37F4B">
        <w:t>him el-K</w:t>
      </w:r>
      <w:r>
        <w:t>î</w:t>
      </w:r>
      <w:r w:rsidRPr="00B37F4B">
        <w:t>lânî</w:t>
      </w:r>
      <w:r>
        <w:t>, Dımeşk: Dâru’l-y</w:t>
      </w:r>
      <w:r w:rsidRPr="00B37F4B">
        <w:t>akaza,</w:t>
      </w:r>
      <w:r>
        <w:t xml:space="preserve"> </w:t>
      </w:r>
      <w:r w:rsidRPr="00B37F4B">
        <w:t>1961.</w:t>
      </w:r>
    </w:p>
    <w:p w14:paraId="18D1CE10" w14:textId="360515B5" w:rsidR="004C4AD4" w:rsidRPr="004C4AD4" w:rsidRDefault="007E7EE2" w:rsidP="007E7EE2">
      <w:pPr>
        <w:pStyle w:val="Kaynakca"/>
        <w:rPr>
          <w:rFonts w:asciiTheme="majorBidi" w:hAnsiTheme="majorBidi" w:cstheme="majorBidi"/>
          <w:szCs w:val="22"/>
        </w:rPr>
      </w:pPr>
      <w:r w:rsidRPr="004C4AD4">
        <w:rPr>
          <w:rFonts w:asciiTheme="majorBidi" w:hAnsiTheme="majorBidi" w:cstheme="majorBidi"/>
          <w:szCs w:val="22"/>
        </w:rPr>
        <w:t>Rosenthal, F</w:t>
      </w:r>
      <w:r>
        <w:rPr>
          <w:rFonts w:asciiTheme="majorBidi" w:hAnsiTheme="majorBidi" w:cstheme="majorBidi"/>
          <w:szCs w:val="22"/>
        </w:rPr>
        <w:t xml:space="preserve">ranz, </w:t>
      </w:r>
      <w:r w:rsidRPr="004C4AD4">
        <w:rPr>
          <w:rFonts w:asciiTheme="majorBidi" w:hAnsiTheme="majorBidi" w:cstheme="majorBidi"/>
          <w:i/>
          <w:szCs w:val="22"/>
        </w:rPr>
        <w:t>Knowledge Triumphant</w:t>
      </w:r>
      <w:r w:rsidRPr="004C4AD4">
        <w:rPr>
          <w:rFonts w:asciiTheme="majorBidi" w:hAnsiTheme="majorBidi" w:cstheme="majorBidi"/>
          <w:szCs w:val="22"/>
        </w:rPr>
        <w:t>, Leiden-Boston: Brill</w:t>
      </w:r>
      <w:r>
        <w:rPr>
          <w:rFonts w:asciiTheme="majorBidi" w:hAnsiTheme="majorBidi" w:cstheme="majorBidi"/>
          <w:szCs w:val="22"/>
        </w:rPr>
        <w:t>, 2007.</w:t>
      </w:r>
    </w:p>
    <w:p w14:paraId="3B64EDEC" w14:textId="77777777" w:rsidR="004C4AD4" w:rsidRPr="004C4AD4" w:rsidRDefault="004C4AD4">
      <w:pPr>
        <w:rPr>
          <w:rFonts w:asciiTheme="majorBidi" w:hAnsiTheme="majorBidi" w:cstheme="majorBidi"/>
        </w:rPr>
      </w:pPr>
    </w:p>
    <w:sectPr w:rsidR="004C4AD4" w:rsidRPr="004C4AD4" w:rsidSect="007E7EE2">
      <w:footerReference w:type="even" r:id="rId8"/>
      <w:footerReference w:type="default" r:id="rId9"/>
      <w:pgSz w:w="12240" w:h="15840"/>
      <w:pgMar w:top="1418" w:right="1418" w:bottom="1418" w:left="1701" w:header="709" w:footer="709" w:gutter="0"/>
      <w:cols w:space="708"/>
      <w:noEndnote/>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45F48A" w14:textId="77777777" w:rsidR="00147F6B" w:rsidRDefault="00147F6B" w:rsidP="004D1C4F">
      <w:r>
        <w:separator/>
      </w:r>
    </w:p>
  </w:endnote>
  <w:endnote w:type="continuationSeparator" w:id="0">
    <w:p w14:paraId="602EFF81" w14:textId="77777777" w:rsidR="00147F6B" w:rsidRDefault="00147F6B" w:rsidP="004D1C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MS Gothic">
    <w:panose1 w:val="020B0609070205080204"/>
    <w:charset w:val="80"/>
    <w:family w:val="auto"/>
    <w:pitch w:val="variable"/>
    <w:sig w:usb0="E00002FF" w:usb1="6AC7FDFB" w:usb2="08000012" w:usb3="00000000" w:csb0="0002009F" w:csb1="00000000"/>
  </w:font>
  <w:font w:name="MS Mincho">
    <w:panose1 w:val="02020609040205080304"/>
    <w:charset w:val="80"/>
    <w:family w:val="auto"/>
    <w:pitch w:val="variable"/>
    <w:sig w:usb0="E00002FF" w:usb1="6AC7FDFB" w:usb2="08000012" w:usb3="00000000" w:csb0="0002009F" w:csb1="00000000"/>
  </w:font>
  <w:font w:name="Times Regular">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434F2E" w14:textId="77777777" w:rsidR="00E607C2" w:rsidRDefault="00E607C2" w:rsidP="008021FF">
    <w:pPr>
      <w:pStyle w:val="AltBilgi"/>
      <w:framePr w:wrap="none" w:vAnchor="text" w:hAnchor="margin" w:xAlign="center" w:y="1"/>
      <w:rPr>
        <w:rStyle w:val="SayfaNumaras"/>
      </w:rPr>
    </w:pPr>
    <w:r>
      <w:rPr>
        <w:rStyle w:val="SayfaNumaras"/>
      </w:rPr>
      <w:fldChar w:fldCharType="begin"/>
    </w:r>
    <w:r>
      <w:rPr>
        <w:rStyle w:val="SayfaNumaras"/>
      </w:rPr>
      <w:instrText xml:space="preserve">PAGE  </w:instrText>
    </w:r>
    <w:r>
      <w:rPr>
        <w:rStyle w:val="SayfaNumaras"/>
      </w:rPr>
      <w:fldChar w:fldCharType="end"/>
    </w:r>
  </w:p>
  <w:p w14:paraId="3FB4E85F" w14:textId="77777777" w:rsidR="00E607C2" w:rsidRDefault="00E607C2">
    <w:pPr>
      <w:pStyle w:val="AltBilgi"/>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A8273E" w14:textId="77777777" w:rsidR="00E607C2" w:rsidRDefault="00E607C2" w:rsidP="008021FF">
    <w:pPr>
      <w:pStyle w:val="AltBilgi"/>
      <w:framePr w:wrap="none" w:vAnchor="text" w:hAnchor="margin" w:xAlign="center" w:y="1"/>
      <w:rPr>
        <w:rStyle w:val="SayfaNumaras"/>
      </w:rPr>
    </w:pPr>
    <w:r>
      <w:rPr>
        <w:rStyle w:val="SayfaNumaras"/>
      </w:rPr>
      <w:fldChar w:fldCharType="begin"/>
    </w:r>
    <w:r>
      <w:rPr>
        <w:rStyle w:val="SayfaNumaras"/>
      </w:rPr>
      <w:instrText xml:space="preserve">PAGE  </w:instrText>
    </w:r>
    <w:r>
      <w:rPr>
        <w:rStyle w:val="SayfaNumaras"/>
      </w:rPr>
      <w:fldChar w:fldCharType="separate"/>
    </w:r>
    <w:r w:rsidR="00147F6B">
      <w:rPr>
        <w:rStyle w:val="SayfaNumaras"/>
        <w:noProof/>
      </w:rPr>
      <w:t>1</w:t>
    </w:r>
    <w:r>
      <w:rPr>
        <w:rStyle w:val="SayfaNumaras"/>
      </w:rPr>
      <w:fldChar w:fldCharType="end"/>
    </w:r>
  </w:p>
  <w:p w14:paraId="1DD6C09E" w14:textId="77777777" w:rsidR="00E607C2" w:rsidRDefault="00E607C2">
    <w:pPr>
      <w:pStyle w:val="AltBilgi"/>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C98A80" w14:textId="77777777" w:rsidR="00147F6B" w:rsidRDefault="00147F6B" w:rsidP="004D1C4F">
      <w:r>
        <w:separator/>
      </w:r>
    </w:p>
  </w:footnote>
  <w:footnote w:type="continuationSeparator" w:id="0">
    <w:p w14:paraId="23AB0FB8" w14:textId="77777777" w:rsidR="00147F6B" w:rsidRDefault="00147F6B" w:rsidP="004D1C4F">
      <w:r>
        <w:continuationSeparator/>
      </w:r>
    </w:p>
  </w:footnote>
  <w:footnote w:id="1">
    <w:p w14:paraId="4845D3C5" w14:textId="77777777" w:rsidR="00640471" w:rsidRPr="00A33CFB" w:rsidRDefault="00640471" w:rsidP="00640471">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Doç. Dr., Mardin Artuklu Üniversitesi, Edebiyat Fakültesi Felsefe Bölümü öğretim üyesi yunuscengiz1@gmail.com</w:t>
      </w:r>
    </w:p>
  </w:footnote>
  <w:footnote w:id="2">
    <w:p w14:paraId="23717CEB" w14:textId="1CD9FEC8" w:rsidR="009648EA" w:rsidRPr="004C4AD4" w:rsidRDefault="00A33CFB" w:rsidP="009648EA">
      <w:pPr>
        <w:pStyle w:val="DipnotMetni"/>
        <w:spacing w:after="80"/>
        <w:rPr>
          <w:rFonts w:asciiTheme="majorBidi" w:hAnsiTheme="majorBidi" w:cstheme="majorBidi"/>
          <w:sz w:val="22"/>
          <w:szCs w:val="22"/>
        </w:rPr>
      </w:pPr>
      <w:r>
        <w:rPr>
          <w:rStyle w:val="DipnotBavurusu"/>
        </w:rPr>
        <w:footnoteRef/>
      </w:r>
      <w:r>
        <w:t xml:space="preserve"> </w:t>
      </w:r>
      <w:r w:rsidR="009648EA" w:rsidRPr="004C4AD4">
        <w:rPr>
          <w:rFonts w:asciiTheme="majorBidi" w:hAnsiTheme="majorBidi" w:cstheme="majorBidi"/>
          <w:sz w:val="22"/>
          <w:szCs w:val="22"/>
        </w:rPr>
        <w:t>Rosenthal,</w:t>
      </w:r>
      <w:r w:rsidR="009648EA">
        <w:rPr>
          <w:rFonts w:asciiTheme="majorBidi" w:hAnsiTheme="majorBidi" w:cstheme="majorBidi"/>
          <w:sz w:val="22"/>
          <w:szCs w:val="22"/>
        </w:rPr>
        <w:t xml:space="preserve"> </w:t>
      </w:r>
      <w:r w:rsidR="009648EA" w:rsidRPr="004C4AD4">
        <w:rPr>
          <w:rFonts w:asciiTheme="majorBidi" w:hAnsiTheme="majorBidi" w:cstheme="majorBidi"/>
          <w:i/>
          <w:sz w:val="22"/>
          <w:szCs w:val="22"/>
        </w:rPr>
        <w:t>Knowledge Triumphant</w:t>
      </w:r>
      <w:r w:rsidR="009648EA">
        <w:rPr>
          <w:rFonts w:asciiTheme="majorBidi" w:hAnsiTheme="majorBidi" w:cstheme="majorBidi"/>
          <w:sz w:val="22"/>
          <w:szCs w:val="22"/>
        </w:rPr>
        <w:t xml:space="preserve">, s. VI; </w:t>
      </w:r>
      <w:r w:rsidR="009648EA" w:rsidRPr="00A33CFB">
        <w:rPr>
          <w:rFonts w:asciiTheme="majorBidi" w:hAnsiTheme="majorBidi" w:cstheme="majorBidi"/>
          <w:sz w:val="20"/>
          <w:szCs w:val="20"/>
        </w:rPr>
        <w:t xml:space="preserve">Fuat Sezgin, </w:t>
      </w:r>
      <w:r w:rsidR="009648EA" w:rsidRPr="00A33CFB">
        <w:rPr>
          <w:rFonts w:asciiTheme="majorBidi" w:hAnsiTheme="majorBidi" w:cstheme="majorBidi"/>
          <w:i/>
          <w:iCs/>
          <w:sz w:val="20"/>
          <w:szCs w:val="20"/>
        </w:rPr>
        <w:t>İslam’da Bilim ve Teknik</w:t>
      </w:r>
      <w:r w:rsidR="009648EA" w:rsidRPr="00A33CFB">
        <w:rPr>
          <w:rFonts w:asciiTheme="majorBidi" w:hAnsiTheme="majorBidi" w:cstheme="majorBidi"/>
          <w:sz w:val="20"/>
          <w:szCs w:val="20"/>
        </w:rPr>
        <w:t>, III, 3.</w:t>
      </w:r>
    </w:p>
    <w:p w14:paraId="18BA98AC" w14:textId="4211C518" w:rsidR="00A33CFB" w:rsidRDefault="00A33CFB">
      <w:pPr>
        <w:pStyle w:val="DipnotMetni"/>
      </w:pPr>
    </w:p>
  </w:footnote>
  <w:footnote w:id="3">
    <w:p w14:paraId="5F2FFC3D" w14:textId="5198D8F1" w:rsidR="00A73D52" w:rsidRPr="00A33CFB" w:rsidRDefault="00A73D52" w:rsidP="00A73D52">
      <w:pPr>
        <w:jc w:val="both"/>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el-Ka‘bî, Ebu Kasım el-Belhî, “Bâbu zikri’l-Mu’tezileti min Makâlâti’l-İslamiyyin”, </w:t>
      </w:r>
      <w:r w:rsidRPr="00A33CFB">
        <w:rPr>
          <w:rFonts w:asciiTheme="majorBidi" w:hAnsiTheme="majorBidi" w:cstheme="majorBidi"/>
          <w:i/>
          <w:iCs/>
          <w:sz w:val="20"/>
          <w:szCs w:val="20"/>
        </w:rPr>
        <w:t>Fadlu’l-İ’tizâl ve Tabâkâti’l-Mu’tezile,</w:t>
      </w:r>
      <w:r w:rsidRPr="00A33CFB">
        <w:rPr>
          <w:rFonts w:asciiTheme="majorBidi" w:hAnsiTheme="majorBidi" w:cstheme="majorBidi"/>
          <w:sz w:val="20"/>
          <w:szCs w:val="20"/>
        </w:rPr>
        <w:t xml:space="preserve"> (thk. Fuad Seyyid), ed-Dâru’t-Tûnusiyyeti li’n-Neşr, Tunus, 1986, s. 70-71; </w:t>
      </w:r>
      <w:r w:rsidRPr="00A33CFB">
        <w:rPr>
          <w:rFonts w:asciiTheme="majorBidi" w:eastAsia="MS Mincho" w:hAnsiTheme="majorBidi" w:cstheme="majorBidi"/>
          <w:sz w:val="20"/>
          <w:szCs w:val="20"/>
        </w:rPr>
        <w:t xml:space="preserve">Abdulhâdi Ebû Rîde, </w:t>
      </w:r>
      <w:r w:rsidRPr="00A33CFB">
        <w:rPr>
          <w:rFonts w:asciiTheme="majorBidi" w:eastAsia="MS Mincho" w:hAnsiTheme="majorBidi" w:cstheme="majorBidi"/>
          <w:i/>
          <w:sz w:val="20"/>
          <w:szCs w:val="20"/>
        </w:rPr>
        <w:t>İbrahim b. Seyyâr</w:t>
      </w:r>
      <w:r w:rsidRPr="00A33CFB">
        <w:rPr>
          <w:rFonts w:asciiTheme="majorBidi" w:eastAsia="MS Mincho" w:hAnsiTheme="majorBidi" w:cstheme="majorBidi"/>
          <w:sz w:val="20"/>
          <w:szCs w:val="20"/>
        </w:rPr>
        <w:t xml:space="preserve"> </w:t>
      </w:r>
      <w:r w:rsidRPr="00A33CFB">
        <w:rPr>
          <w:rFonts w:asciiTheme="majorBidi" w:eastAsia="MS Mincho" w:hAnsiTheme="majorBidi" w:cstheme="majorBidi"/>
          <w:i/>
          <w:sz w:val="20"/>
          <w:szCs w:val="20"/>
        </w:rPr>
        <w:t xml:space="preserve">en-Nazzâm ve ârauhu’l-kelâmiyyetu’l-felsefiyye, </w:t>
      </w:r>
      <w:r w:rsidRPr="00A33CFB">
        <w:rPr>
          <w:rFonts w:asciiTheme="majorBidi" w:eastAsia="MS Mincho" w:hAnsiTheme="majorBidi" w:cstheme="majorBidi"/>
          <w:sz w:val="20"/>
          <w:szCs w:val="20"/>
        </w:rPr>
        <w:t>Matba’atu Lecnetu’t-Te’lîf ve’t-Tercüme ve’n-Neşr, Kahire, 1946, s. 1-45.</w:t>
      </w:r>
    </w:p>
  </w:footnote>
  <w:footnote w:id="4">
    <w:p w14:paraId="742B3D56" w14:textId="77777777" w:rsidR="00A73D52" w:rsidRPr="00A33CFB" w:rsidRDefault="00A73D52" w:rsidP="00A73D52">
      <w:pPr>
        <w:jc w:val="both"/>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Ch. Pellât, el-Câhiz (trc. İbrahim el-Kilânî), Dâru’l-Yakaza, Dımeşk, 1961, s. 90-109.</w:t>
      </w:r>
    </w:p>
    <w:p w14:paraId="6C39B0F1" w14:textId="6E75BA80" w:rsidR="00A73D52" w:rsidRPr="00A33CFB" w:rsidRDefault="00A73D52" w:rsidP="00A73D52">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Câhiz, </w:t>
      </w:r>
      <w:r w:rsidRPr="00A33CFB">
        <w:rPr>
          <w:rFonts w:asciiTheme="majorBidi" w:hAnsiTheme="majorBidi" w:cstheme="majorBidi"/>
          <w:i/>
          <w:iCs/>
          <w:sz w:val="20"/>
          <w:szCs w:val="20"/>
        </w:rPr>
        <w:t xml:space="preserve">el-Hayevân, </w:t>
      </w:r>
      <w:r w:rsidRPr="00A33CFB">
        <w:rPr>
          <w:rFonts w:asciiTheme="majorBidi" w:hAnsiTheme="majorBidi" w:cstheme="majorBidi"/>
          <w:sz w:val="20"/>
          <w:szCs w:val="20"/>
        </w:rPr>
        <w:t>c. 6, s. 12-13.</w:t>
      </w:r>
    </w:p>
  </w:footnote>
  <w:footnote w:id="5">
    <w:p w14:paraId="5A236AA1" w14:textId="74A67AD7" w:rsidR="00A73D52" w:rsidRPr="00A33CFB" w:rsidRDefault="00A73D52" w:rsidP="009648EA">
      <w:pPr>
        <w:jc w:val="both"/>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Bu konu için bkz. </w:t>
      </w:r>
      <w:r w:rsidR="009648EA">
        <w:rPr>
          <w:rFonts w:asciiTheme="majorBidi" w:hAnsiTheme="majorBidi" w:cstheme="majorBidi"/>
          <w:sz w:val="20"/>
          <w:szCs w:val="20"/>
        </w:rPr>
        <w:t xml:space="preserve">Yunus </w:t>
      </w:r>
      <w:r w:rsidRPr="00A33CFB">
        <w:rPr>
          <w:rFonts w:asciiTheme="majorBidi" w:hAnsiTheme="majorBidi" w:cstheme="majorBidi"/>
          <w:sz w:val="20"/>
          <w:szCs w:val="20"/>
        </w:rPr>
        <w:t xml:space="preserve">Cengiz, </w:t>
      </w:r>
      <w:r w:rsidRPr="00A33CFB">
        <w:rPr>
          <w:rFonts w:asciiTheme="majorBidi" w:hAnsiTheme="majorBidi" w:cstheme="majorBidi"/>
          <w:color w:val="3A3A3A"/>
          <w:sz w:val="20"/>
          <w:szCs w:val="20"/>
        </w:rPr>
        <w:t xml:space="preserve">“Mu‘tezile’nin İnsan Düşüncesinde Rakip İki Tasavvur: Ebü’l-Hüzeyl ve Nazzâm Gelenekleri” </w:t>
      </w:r>
      <w:r w:rsidRPr="00A33CFB">
        <w:rPr>
          <w:rFonts w:asciiTheme="majorBidi" w:hAnsiTheme="majorBidi" w:cstheme="majorBidi"/>
          <w:i/>
          <w:iCs/>
          <w:color w:val="3A3A3A"/>
          <w:sz w:val="20"/>
          <w:szCs w:val="20"/>
        </w:rPr>
        <w:t>Nazariyat İslam Felsefe ve bilim Tarihi Araştırmaları Dergisi</w:t>
      </w:r>
      <w:r w:rsidRPr="00A33CFB">
        <w:rPr>
          <w:rFonts w:asciiTheme="majorBidi" w:hAnsiTheme="majorBidi" w:cstheme="majorBidi"/>
          <w:color w:val="3A3A3A"/>
          <w:sz w:val="20"/>
          <w:szCs w:val="20"/>
        </w:rPr>
        <w:t>, 4:</w:t>
      </w:r>
      <w:r w:rsidR="009648EA">
        <w:rPr>
          <w:rFonts w:asciiTheme="majorBidi" w:hAnsiTheme="majorBidi" w:cstheme="majorBidi"/>
          <w:color w:val="3A3A3A"/>
          <w:sz w:val="20"/>
          <w:szCs w:val="20"/>
        </w:rPr>
        <w:t xml:space="preserve"> </w:t>
      </w:r>
      <w:r w:rsidRPr="00A33CFB">
        <w:rPr>
          <w:rFonts w:asciiTheme="majorBidi" w:hAnsiTheme="majorBidi" w:cstheme="majorBidi"/>
          <w:color w:val="3A3A3A"/>
          <w:sz w:val="20"/>
          <w:szCs w:val="20"/>
        </w:rPr>
        <w:t>2 (2018), 55-72.</w:t>
      </w:r>
    </w:p>
    <w:p w14:paraId="27CAFA1E" w14:textId="789D6FF6" w:rsidR="00A73D52" w:rsidRPr="00A33CFB" w:rsidRDefault="00A73D52">
      <w:pPr>
        <w:pStyle w:val="DipnotMetni"/>
        <w:rPr>
          <w:rFonts w:asciiTheme="majorBidi" w:hAnsiTheme="majorBidi" w:cstheme="majorBidi"/>
          <w:sz w:val="20"/>
          <w:szCs w:val="20"/>
        </w:rPr>
      </w:pPr>
    </w:p>
  </w:footnote>
  <w:footnote w:id="6">
    <w:p w14:paraId="413B2FD5" w14:textId="50C96424" w:rsidR="00BD7F7F" w:rsidRPr="00A33CFB" w:rsidRDefault="00BD7F7F" w:rsidP="009648EA">
      <w:pPr>
        <w:pStyle w:val="Kaynakca"/>
        <w:spacing w:line="240" w:lineRule="auto"/>
        <w:ind w:left="0" w:firstLine="0"/>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Bkz.</w:t>
      </w:r>
      <w:r w:rsidR="009648EA">
        <w:rPr>
          <w:rFonts w:asciiTheme="majorBidi" w:hAnsiTheme="majorBidi" w:cstheme="majorBidi"/>
          <w:sz w:val="20"/>
          <w:szCs w:val="20"/>
        </w:rPr>
        <w:t xml:space="preserve"> </w:t>
      </w:r>
      <w:r w:rsidRPr="00A33CFB">
        <w:rPr>
          <w:rFonts w:asciiTheme="majorBidi" w:hAnsiTheme="majorBidi" w:cstheme="majorBidi"/>
          <w:sz w:val="20"/>
          <w:szCs w:val="20"/>
        </w:rPr>
        <w:t xml:space="preserve">Dimitri, </w:t>
      </w:r>
      <w:r w:rsidR="009648EA" w:rsidRPr="00A33CFB">
        <w:rPr>
          <w:rFonts w:asciiTheme="majorBidi" w:hAnsiTheme="majorBidi" w:cstheme="majorBidi"/>
          <w:sz w:val="20"/>
          <w:szCs w:val="20"/>
        </w:rPr>
        <w:t xml:space="preserve">Gutas </w:t>
      </w:r>
      <w:r w:rsidRPr="00A33CFB">
        <w:rPr>
          <w:rFonts w:asciiTheme="majorBidi" w:hAnsiTheme="majorBidi" w:cstheme="majorBidi"/>
          <w:sz w:val="20"/>
          <w:szCs w:val="20"/>
        </w:rPr>
        <w:t xml:space="preserve">“Arapçaya Tercüme Edilen Yunanca Felsefî Eserler”, çev. İbrahim Halil Üçer, </w:t>
      </w:r>
      <w:r w:rsidRPr="00A33CFB">
        <w:rPr>
          <w:rFonts w:asciiTheme="majorBidi" w:hAnsiTheme="majorBidi" w:cstheme="majorBidi"/>
          <w:i/>
          <w:iCs/>
          <w:sz w:val="20"/>
          <w:szCs w:val="20"/>
        </w:rPr>
        <w:t>İslam Felsefesi Tarih ve Problemler</w:t>
      </w:r>
      <w:r w:rsidRPr="00A33CFB">
        <w:rPr>
          <w:rFonts w:asciiTheme="majorBidi" w:hAnsiTheme="majorBidi" w:cstheme="majorBidi"/>
          <w:sz w:val="20"/>
          <w:szCs w:val="20"/>
        </w:rPr>
        <w:t xml:space="preserve"> içinde, ed. M. Cüneyt Kaya, İstanbul: İSAM Yayınları, 2013, 777-797; </w:t>
      </w:r>
      <w:r w:rsidRPr="00A33CFB">
        <w:rPr>
          <w:rFonts w:asciiTheme="majorBidi" w:hAnsiTheme="majorBidi" w:cstheme="majorBidi"/>
          <w:i/>
          <w:iCs/>
          <w:sz w:val="20"/>
          <w:szCs w:val="20"/>
        </w:rPr>
        <w:t>Yunanca Düşünce Arapça Kültür: Bağdat’ta Yunanca-Arapça Çeviri Hareketi ve Erken Abbasi Toplumu</w:t>
      </w:r>
      <w:r w:rsidRPr="00A33CFB">
        <w:rPr>
          <w:rFonts w:asciiTheme="majorBidi" w:hAnsiTheme="majorBidi" w:cstheme="majorBidi"/>
          <w:sz w:val="20"/>
          <w:szCs w:val="20"/>
        </w:rPr>
        <w:t>, çev. Lütfü Şimşek, İstanbul: Kitap Yayınevi, 2015.</w:t>
      </w:r>
    </w:p>
    <w:p w14:paraId="193FCCFB" w14:textId="761C92DD" w:rsidR="00BD7F7F" w:rsidRPr="00A33CFB" w:rsidRDefault="00BD7F7F" w:rsidP="00BD7F7F">
      <w:pPr>
        <w:pStyle w:val="Kaynakca"/>
        <w:spacing w:line="240" w:lineRule="auto"/>
        <w:ind w:left="0" w:firstLine="0"/>
        <w:rPr>
          <w:rFonts w:asciiTheme="majorBidi" w:hAnsiTheme="majorBidi" w:cstheme="majorBidi"/>
          <w:sz w:val="20"/>
          <w:szCs w:val="20"/>
        </w:rPr>
      </w:pPr>
    </w:p>
    <w:p w14:paraId="398B50FF" w14:textId="4838F412" w:rsidR="00BD7F7F" w:rsidRPr="00A33CFB" w:rsidRDefault="00BD7F7F">
      <w:pPr>
        <w:pStyle w:val="DipnotMetni"/>
        <w:rPr>
          <w:rFonts w:asciiTheme="majorBidi" w:hAnsiTheme="majorBidi" w:cstheme="majorBidi"/>
          <w:sz w:val="20"/>
          <w:szCs w:val="20"/>
        </w:rPr>
      </w:pPr>
    </w:p>
  </w:footnote>
  <w:footnote w:id="7">
    <w:p w14:paraId="7E2F2184" w14:textId="08A323AA" w:rsidR="00A33D99" w:rsidRPr="00A33CFB" w:rsidRDefault="00A33D99" w:rsidP="00613108">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Câhız, “Hücecü’n-nübüvve”, 237-238.</w:t>
      </w:r>
    </w:p>
  </w:footnote>
  <w:footnote w:id="8">
    <w:p w14:paraId="549DA543" w14:textId="77777777" w:rsidR="00455F5B" w:rsidRPr="00A33CFB" w:rsidRDefault="00455F5B" w:rsidP="00455F5B">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Eş‘arî, </w:t>
      </w:r>
      <w:r w:rsidRPr="00A33CFB">
        <w:rPr>
          <w:rFonts w:asciiTheme="majorBidi" w:hAnsiTheme="majorBidi" w:cstheme="majorBidi"/>
          <w:i/>
          <w:sz w:val="20"/>
          <w:szCs w:val="20"/>
        </w:rPr>
        <w:t>Makâlât,</w:t>
      </w:r>
      <w:r w:rsidRPr="00A33CFB">
        <w:rPr>
          <w:rFonts w:asciiTheme="majorBidi" w:hAnsiTheme="majorBidi" w:cstheme="majorBidi"/>
          <w:sz w:val="20"/>
          <w:szCs w:val="20"/>
        </w:rPr>
        <w:t xml:space="preserve">  s. 237-238.</w:t>
      </w:r>
    </w:p>
  </w:footnote>
  <w:footnote w:id="9">
    <w:p w14:paraId="7846CACD" w14:textId="77777777" w:rsidR="00455F5B" w:rsidRPr="00A33CFB" w:rsidRDefault="00455F5B" w:rsidP="00455F5B">
      <w:pPr>
        <w:pStyle w:val="DipnotMetni"/>
        <w:rPr>
          <w:rFonts w:asciiTheme="majorBidi" w:hAnsiTheme="majorBidi" w:cstheme="majorBidi"/>
          <w:sz w:val="20"/>
          <w:szCs w:val="20"/>
        </w:rPr>
      </w:pPr>
      <w:r w:rsidRPr="00A33CFB">
        <w:rPr>
          <w:rStyle w:val="DipnotBavurusu"/>
          <w:rFonts w:asciiTheme="majorBidi" w:eastAsia="MS Gothic" w:hAnsiTheme="majorBidi" w:cstheme="majorBidi"/>
          <w:sz w:val="20"/>
          <w:szCs w:val="20"/>
        </w:rPr>
        <w:footnoteRef/>
      </w:r>
      <w:r w:rsidRPr="00A33CFB">
        <w:rPr>
          <w:rFonts w:asciiTheme="majorBidi" w:hAnsiTheme="majorBidi" w:cstheme="majorBidi"/>
          <w:sz w:val="20"/>
          <w:szCs w:val="20"/>
        </w:rPr>
        <w:t xml:space="preserve"> Câhız, </w:t>
      </w:r>
      <w:r w:rsidRPr="00A33CFB">
        <w:rPr>
          <w:rFonts w:asciiTheme="majorBidi" w:hAnsiTheme="majorBidi" w:cstheme="majorBidi"/>
          <w:i/>
          <w:sz w:val="20"/>
          <w:szCs w:val="20"/>
        </w:rPr>
        <w:t>Kitâbü’l-Hayevân</w:t>
      </w:r>
      <w:r w:rsidRPr="00A33CFB">
        <w:rPr>
          <w:rFonts w:asciiTheme="majorBidi" w:hAnsiTheme="majorBidi" w:cstheme="majorBidi"/>
          <w:sz w:val="20"/>
          <w:szCs w:val="20"/>
        </w:rPr>
        <w:t>,</w:t>
      </w:r>
      <w:r w:rsidRPr="00A33CFB">
        <w:rPr>
          <w:rFonts w:asciiTheme="majorBidi" w:hAnsiTheme="majorBidi" w:cstheme="majorBidi"/>
          <w:i/>
          <w:sz w:val="20"/>
          <w:szCs w:val="20"/>
        </w:rPr>
        <w:t xml:space="preserve"> </w:t>
      </w:r>
      <w:r w:rsidRPr="00A33CFB">
        <w:rPr>
          <w:rFonts w:asciiTheme="majorBidi" w:hAnsiTheme="majorBidi" w:cstheme="majorBidi"/>
          <w:sz w:val="20"/>
          <w:szCs w:val="20"/>
        </w:rPr>
        <w:t>119.</w:t>
      </w:r>
    </w:p>
  </w:footnote>
  <w:footnote w:id="10">
    <w:p w14:paraId="561DF97A" w14:textId="0032F571" w:rsidR="00613108" w:rsidRPr="00A33CFB" w:rsidRDefault="00613108">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Câhız, </w:t>
      </w:r>
      <w:r w:rsidRPr="00A33CFB">
        <w:rPr>
          <w:rFonts w:asciiTheme="majorBidi" w:hAnsiTheme="majorBidi" w:cstheme="majorBidi"/>
          <w:i/>
          <w:iCs/>
          <w:sz w:val="20"/>
          <w:szCs w:val="20"/>
        </w:rPr>
        <w:t>Kitâbü’l-Hayevân</w:t>
      </w:r>
      <w:r w:rsidRPr="00A33CFB">
        <w:rPr>
          <w:rFonts w:asciiTheme="majorBidi" w:hAnsiTheme="majorBidi" w:cstheme="majorBidi"/>
          <w:iCs/>
          <w:sz w:val="20"/>
          <w:szCs w:val="20"/>
        </w:rPr>
        <w:t xml:space="preserve">, III, </w:t>
      </w:r>
      <w:r w:rsidRPr="00A33CFB">
        <w:rPr>
          <w:rFonts w:asciiTheme="majorBidi" w:hAnsiTheme="majorBidi" w:cstheme="majorBidi"/>
          <w:sz w:val="20"/>
          <w:szCs w:val="20"/>
        </w:rPr>
        <w:t>214-216.</w:t>
      </w:r>
    </w:p>
  </w:footnote>
  <w:footnote w:id="11">
    <w:p w14:paraId="2021FC65" w14:textId="22A5AFEF" w:rsidR="00613108" w:rsidRPr="00A33CFB" w:rsidRDefault="00613108">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Câhız, </w:t>
      </w:r>
      <w:r w:rsidRPr="00A33CFB">
        <w:rPr>
          <w:rFonts w:asciiTheme="majorBidi" w:hAnsiTheme="majorBidi" w:cstheme="majorBidi"/>
          <w:i/>
          <w:iCs/>
          <w:sz w:val="20"/>
          <w:szCs w:val="20"/>
        </w:rPr>
        <w:t>Kitâbü’l-Hayevân</w:t>
      </w:r>
      <w:r w:rsidRPr="00A33CFB">
        <w:rPr>
          <w:rFonts w:asciiTheme="majorBidi" w:hAnsiTheme="majorBidi" w:cstheme="majorBidi"/>
          <w:sz w:val="20"/>
          <w:szCs w:val="20"/>
        </w:rPr>
        <w:t>, II, 121.</w:t>
      </w:r>
    </w:p>
  </w:footnote>
  <w:footnote w:id="12">
    <w:p w14:paraId="7EBECB33" w14:textId="7817E5A1" w:rsidR="00613108" w:rsidRPr="00A33CFB" w:rsidRDefault="00613108">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Câhız, </w:t>
      </w:r>
      <w:r w:rsidRPr="00A33CFB">
        <w:rPr>
          <w:rFonts w:asciiTheme="majorBidi" w:hAnsiTheme="majorBidi" w:cstheme="majorBidi"/>
          <w:i/>
          <w:iCs/>
          <w:sz w:val="20"/>
          <w:szCs w:val="20"/>
        </w:rPr>
        <w:t>Kitâbü’l-Hayevân</w:t>
      </w:r>
      <w:r w:rsidRPr="00A33CFB">
        <w:rPr>
          <w:rFonts w:asciiTheme="majorBidi" w:hAnsiTheme="majorBidi" w:cstheme="majorBidi"/>
          <w:iCs/>
          <w:sz w:val="20"/>
          <w:szCs w:val="20"/>
        </w:rPr>
        <w:t>,</w:t>
      </w:r>
      <w:r w:rsidRPr="00A33CFB">
        <w:rPr>
          <w:rFonts w:asciiTheme="majorBidi" w:hAnsiTheme="majorBidi" w:cstheme="majorBidi"/>
          <w:sz w:val="20"/>
          <w:szCs w:val="20"/>
        </w:rPr>
        <w:t xml:space="preserve"> III, 376.</w:t>
      </w:r>
    </w:p>
  </w:footnote>
  <w:footnote w:id="13">
    <w:p w14:paraId="15DAA560" w14:textId="45C1A517" w:rsidR="00C3704D" w:rsidRPr="00A33CFB" w:rsidRDefault="00C3704D">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Câhız, </w:t>
      </w:r>
      <w:r w:rsidRPr="00A33CFB">
        <w:rPr>
          <w:rFonts w:asciiTheme="majorBidi" w:hAnsiTheme="majorBidi" w:cstheme="majorBidi"/>
          <w:i/>
          <w:iCs/>
          <w:sz w:val="20"/>
          <w:szCs w:val="20"/>
        </w:rPr>
        <w:t>Kitâbü’l-Hayevân</w:t>
      </w:r>
      <w:r w:rsidRPr="00A33CFB">
        <w:rPr>
          <w:rFonts w:asciiTheme="majorBidi" w:hAnsiTheme="majorBidi" w:cstheme="majorBidi"/>
          <w:sz w:val="20"/>
          <w:szCs w:val="20"/>
        </w:rPr>
        <w:t>, 6/35.</w:t>
      </w:r>
    </w:p>
  </w:footnote>
  <w:footnote w:id="14">
    <w:p w14:paraId="677737EF" w14:textId="77A43634" w:rsidR="00C3704D" w:rsidRPr="00A33CFB" w:rsidRDefault="00C3704D">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Câhız, </w:t>
      </w:r>
      <w:r w:rsidRPr="00A33CFB">
        <w:rPr>
          <w:rFonts w:asciiTheme="majorBidi" w:hAnsiTheme="majorBidi" w:cstheme="majorBidi"/>
          <w:i/>
          <w:iCs/>
          <w:sz w:val="20"/>
          <w:szCs w:val="20"/>
        </w:rPr>
        <w:t>Kitâbü’l-Hayevân</w:t>
      </w:r>
      <w:r w:rsidRPr="00A33CFB">
        <w:rPr>
          <w:rFonts w:asciiTheme="majorBidi" w:hAnsiTheme="majorBidi" w:cstheme="majorBidi"/>
          <w:sz w:val="20"/>
          <w:szCs w:val="20"/>
        </w:rPr>
        <w:t>, III, 374.</w:t>
      </w:r>
    </w:p>
  </w:footnote>
  <w:footnote w:id="15">
    <w:p w14:paraId="1474C1A4" w14:textId="77777777" w:rsidR="00C3704D" w:rsidRPr="00A33CFB" w:rsidRDefault="00C3704D" w:rsidP="00C3704D">
      <w:pPr>
        <w:pStyle w:val="DipnotMetni"/>
        <w:rPr>
          <w:rFonts w:asciiTheme="majorBidi" w:hAnsiTheme="majorBidi" w:cstheme="majorBidi"/>
          <w:sz w:val="20"/>
          <w:szCs w:val="20"/>
        </w:rPr>
      </w:pPr>
      <w:r w:rsidRPr="00A33CFB">
        <w:rPr>
          <w:rStyle w:val="DipnotBavurusu"/>
          <w:rFonts w:asciiTheme="majorBidi" w:hAnsiTheme="majorBidi" w:cstheme="majorBidi"/>
          <w:sz w:val="20"/>
          <w:szCs w:val="20"/>
        </w:rPr>
        <w:footnoteRef/>
      </w:r>
      <w:r w:rsidRPr="00A33CFB">
        <w:rPr>
          <w:rFonts w:asciiTheme="majorBidi" w:hAnsiTheme="majorBidi" w:cstheme="majorBidi"/>
          <w:sz w:val="20"/>
          <w:szCs w:val="20"/>
        </w:rPr>
        <w:t xml:space="preserve"> Câhız, “Kitâbü’l-Mesâ’il ve’l-cevâbât fi’l-ma‘rife”, 119.</w:t>
      </w:r>
    </w:p>
    <w:p w14:paraId="130F536A" w14:textId="6A9C97B4" w:rsidR="00C3704D" w:rsidRPr="00A33CFB" w:rsidRDefault="00C3704D">
      <w:pPr>
        <w:pStyle w:val="DipnotMetni"/>
        <w:rPr>
          <w:rFonts w:asciiTheme="majorBidi" w:hAnsiTheme="majorBidi" w:cstheme="majorBidi"/>
          <w:sz w:val="20"/>
          <w:szCs w:val="20"/>
        </w:rPr>
      </w:pPr>
    </w:p>
  </w:footnote>
  <w:footnote w:id="16">
    <w:p w14:paraId="2C46CFDB" w14:textId="77777777" w:rsidR="00FF2097" w:rsidRPr="00A33CFB" w:rsidRDefault="00FF2097" w:rsidP="00FF2097">
      <w:pPr>
        <w:pStyle w:val="DipnotMetni"/>
        <w:rPr>
          <w:rFonts w:asciiTheme="majorBidi" w:hAnsiTheme="majorBidi" w:cstheme="majorBidi"/>
          <w:sz w:val="20"/>
          <w:szCs w:val="20"/>
        </w:rPr>
      </w:pPr>
      <w:r w:rsidRPr="00A33CFB">
        <w:rPr>
          <w:rStyle w:val="DipnotBavurusu"/>
          <w:rFonts w:asciiTheme="majorBidi" w:eastAsia="MS Gothic" w:hAnsiTheme="majorBidi" w:cstheme="majorBidi"/>
          <w:sz w:val="20"/>
          <w:szCs w:val="20"/>
        </w:rPr>
        <w:footnoteRef/>
      </w:r>
      <w:r w:rsidRPr="00A33CFB">
        <w:rPr>
          <w:rFonts w:asciiTheme="majorBidi" w:hAnsiTheme="majorBidi" w:cstheme="majorBidi"/>
          <w:sz w:val="20"/>
          <w:szCs w:val="20"/>
        </w:rPr>
        <w:t xml:space="preserve"> Câhız, “Kitâbü’l-Mesâ’il ve’l-cevâbât fi’l-ma‘rife”, 114.</w:t>
      </w:r>
    </w:p>
  </w:footnote>
  <w:footnote w:id="17">
    <w:p w14:paraId="6D78625A" w14:textId="77777777" w:rsidR="00FF2097" w:rsidRPr="00A33CFB" w:rsidRDefault="00FF2097" w:rsidP="00FF2097">
      <w:pPr>
        <w:pStyle w:val="DipnotMetni"/>
        <w:rPr>
          <w:rFonts w:asciiTheme="majorBidi" w:hAnsiTheme="majorBidi" w:cstheme="majorBidi"/>
          <w:sz w:val="20"/>
          <w:szCs w:val="20"/>
        </w:rPr>
      </w:pPr>
      <w:r w:rsidRPr="00A33CFB">
        <w:rPr>
          <w:rStyle w:val="DipnotBavurusu"/>
          <w:rFonts w:asciiTheme="majorBidi" w:eastAsia="MS Gothic" w:hAnsiTheme="majorBidi" w:cstheme="majorBidi"/>
          <w:sz w:val="20"/>
          <w:szCs w:val="20"/>
        </w:rPr>
        <w:footnoteRef/>
      </w:r>
      <w:r w:rsidRPr="00A33CFB">
        <w:rPr>
          <w:rFonts w:asciiTheme="majorBidi" w:hAnsiTheme="majorBidi" w:cstheme="majorBidi"/>
          <w:sz w:val="20"/>
          <w:szCs w:val="20"/>
        </w:rPr>
        <w:t xml:space="preserve"> Câhız, “et-Terbî‘ ve’t-tedvîr” (nşr. Abdüsselâm Hârûn),105.</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A103E"/>
    <w:multiLevelType w:val="hybridMultilevel"/>
    <w:tmpl w:val="8CD696E2"/>
    <w:lvl w:ilvl="0" w:tplc="DEC273A6">
      <w:start w:val="1"/>
      <w:numFmt w:val="bullet"/>
      <w:lvlText w:val=""/>
      <w:lvlJc w:val="left"/>
      <w:pPr>
        <w:tabs>
          <w:tab w:val="num" w:pos="720"/>
        </w:tabs>
        <w:ind w:left="720" w:hanging="360"/>
      </w:pPr>
      <w:rPr>
        <w:rFonts w:ascii="Wingdings" w:hAnsi="Wingdings" w:hint="default"/>
      </w:rPr>
    </w:lvl>
    <w:lvl w:ilvl="1" w:tplc="1DF20F1E" w:tentative="1">
      <w:start w:val="1"/>
      <w:numFmt w:val="bullet"/>
      <w:lvlText w:val=""/>
      <w:lvlJc w:val="left"/>
      <w:pPr>
        <w:tabs>
          <w:tab w:val="num" w:pos="1440"/>
        </w:tabs>
        <w:ind w:left="1440" w:hanging="360"/>
      </w:pPr>
      <w:rPr>
        <w:rFonts w:ascii="Wingdings" w:hAnsi="Wingdings" w:hint="default"/>
      </w:rPr>
    </w:lvl>
    <w:lvl w:ilvl="2" w:tplc="6C86DD6E" w:tentative="1">
      <w:start w:val="1"/>
      <w:numFmt w:val="bullet"/>
      <w:lvlText w:val=""/>
      <w:lvlJc w:val="left"/>
      <w:pPr>
        <w:tabs>
          <w:tab w:val="num" w:pos="2160"/>
        </w:tabs>
        <w:ind w:left="2160" w:hanging="360"/>
      </w:pPr>
      <w:rPr>
        <w:rFonts w:ascii="Wingdings" w:hAnsi="Wingdings" w:hint="default"/>
      </w:rPr>
    </w:lvl>
    <w:lvl w:ilvl="3" w:tplc="7E24AFD0" w:tentative="1">
      <w:start w:val="1"/>
      <w:numFmt w:val="bullet"/>
      <w:lvlText w:val=""/>
      <w:lvlJc w:val="left"/>
      <w:pPr>
        <w:tabs>
          <w:tab w:val="num" w:pos="2880"/>
        </w:tabs>
        <w:ind w:left="2880" w:hanging="360"/>
      </w:pPr>
      <w:rPr>
        <w:rFonts w:ascii="Wingdings" w:hAnsi="Wingdings" w:hint="default"/>
      </w:rPr>
    </w:lvl>
    <w:lvl w:ilvl="4" w:tplc="6F020CE4" w:tentative="1">
      <w:start w:val="1"/>
      <w:numFmt w:val="bullet"/>
      <w:lvlText w:val=""/>
      <w:lvlJc w:val="left"/>
      <w:pPr>
        <w:tabs>
          <w:tab w:val="num" w:pos="3600"/>
        </w:tabs>
        <w:ind w:left="3600" w:hanging="360"/>
      </w:pPr>
      <w:rPr>
        <w:rFonts w:ascii="Wingdings" w:hAnsi="Wingdings" w:hint="default"/>
      </w:rPr>
    </w:lvl>
    <w:lvl w:ilvl="5" w:tplc="02EEE536" w:tentative="1">
      <w:start w:val="1"/>
      <w:numFmt w:val="bullet"/>
      <w:lvlText w:val=""/>
      <w:lvlJc w:val="left"/>
      <w:pPr>
        <w:tabs>
          <w:tab w:val="num" w:pos="4320"/>
        </w:tabs>
        <w:ind w:left="4320" w:hanging="360"/>
      </w:pPr>
      <w:rPr>
        <w:rFonts w:ascii="Wingdings" w:hAnsi="Wingdings" w:hint="default"/>
      </w:rPr>
    </w:lvl>
    <w:lvl w:ilvl="6" w:tplc="E96216F2" w:tentative="1">
      <w:start w:val="1"/>
      <w:numFmt w:val="bullet"/>
      <w:lvlText w:val=""/>
      <w:lvlJc w:val="left"/>
      <w:pPr>
        <w:tabs>
          <w:tab w:val="num" w:pos="5040"/>
        </w:tabs>
        <w:ind w:left="5040" w:hanging="360"/>
      </w:pPr>
      <w:rPr>
        <w:rFonts w:ascii="Wingdings" w:hAnsi="Wingdings" w:hint="default"/>
      </w:rPr>
    </w:lvl>
    <w:lvl w:ilvl="7" w:tplc="A71EBCF2" w:tentative="1">
      <w:start w:val="1"/>
      <w:numFmt w:val="bullet"/>
      <w:lvlText w:val=""/>
      <w:lvlJc w:val="left"/>
      <w:pPr>
        <w:tabs>
          <w:tab w:val="num" w:pos="5760"/>
        </w:tabs>
        <w:ind w:left="5760" w:hanging="360"/>
      </w:pPr>
      <w:rPr>
        <w:rFonts w:ascii="Wingdings" w:hAnsi="Wingdings" w:hint="default"/>
      </w:rPr>
    </w:lvl>
    <w:lvl w:ilvl="8" w:tplc="1270CA2C" w:tentative="1">
      <w:start w:val="1"/>
      <w:numFmt w:val="bullet"/>
      <w:lvlText w:val=""/>
      <w:lvlJc w:val="left"/>
      <w:pPr>
        <w:tabs>
          <w:tab w:val="num" w:pos="6480"/>
        </w:tabs>
        <w:ind w:left="6480" w:hanging="360"/>
      </w:pPr>
      <w:rPr>
        <w:rFonts w:ascii="Wingdings" w:hAnsi="Wingdings" w:hint="default"/>
      </w:rPr>
    </w:lvl>
  </w:abstractNum>
  <w:abstractNum w:abstractNumId="1">
    <w:nsid w:val="28F20555"/>
    <w:multiLevelType w:val="hybridMultilevel"/>
    <w:tmpl w:val="8F262F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6CC7A57"/>
    <w:multiLevelType w:val="hybridMultilevel"/>
    <w:tmpl w:val="E4843BE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6FB7595"/>
    <w:multiLevelType w:val="hybridMultilevel"/>
    <w:tmpl w:val="3C8E943E"/>
    <w:lvl w:ilvl="0" w:tplc="7780E49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49D0063B"/>
    <w:multiLevelType w:val="hybridMultilevel"/>
    <w:tmpl w:val="B6846D4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0A06E6"/>
    <w:multiLevelType w:val="hybridMultilevel"/>
    <w:tmpl w:val="B606999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2"/>
  <w:defaultTabStop w:val="708"/>
  <w:hyphenationZone w:val="425"/>
  <w:drawingGridHorizontalSpacing w:val="120"/>
  <w:drawingGridVerticalSpacing w:val="163"/>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6ED"/>
    <w:rsid w:val="00041594"/>
    <w:rsid w:val="0007621A"/>
    <w:rsid w:val="000C540D"/>
    <w:rsid w:val="000D0D0A"/>
    <w:rsid w:val="000D515E"/>
    <w:rsid w:val="000F01D4"/>
    <w:rsid w:val="00116F9C"/>
    <w:rsid w:val="00147F6B"/>
    <w:rsid w:val="001C29A8"/>
    <w:rsid w:val="001C7CF0"/>
    <w:rsid w:val="00213E12"/>
    <w:rsid w:val="002251A1"/>
    <w:rsid w:val="0026331D"/>
    <w:rsid w:val="00265966"/>
    <w:rsid w:val="002B2793"/>
    <w:rsid w:val="002B6A24"/>
    <w:rsid w:val="002F3A50"/>
    <w:rsid w:val="003312DB"/>
    <w:rsid w:val="003346E9"/>
    <w:rsid w:val="00352191"/>
    <w:rsid w:val="0037043F"/>
    <w:rsid w:val="003976FE"/>
    <w:rsid w:val="003E58ED"/>
    <w:rsid w:val="003F28F9"/>
    <w:rsid w:val="00432C88"/>
    <w:rsid w:val="00447DB0"/>
    <w:rsid w:val="00455F5B"/>
    <w:rsid w:val="00471D2C"/>
    <w:rsid w:val="00482844"/>
    <w:rsid w:val="004C4AD4"/>
    <w:rsid w:val="004D1C4F"/>
    <w:rsid w:val="004E4A34"/>
    <w:rsid w:val="004E5783"/>
    <w:rsid w:val="004F2CF5"/>
    <w:rsid w:val="00505B33"/>
    <w:rsid w:val="0050688E"/>
    <w:rsid w:val="00533467"/>
    <w:rsid w:val="005A3783"/>
    <w:rsid w:val="005C3DB3"/>
    <w:rsid w:val="00613108"/>
    <w:rsid w:val="00616D17"/>
    <w:rsid w:val="00640471"/>
    <w:rsid w:val="00641546"/>
    <w:rsid w:val="00691AA4"/>
    <w:rsid w:val="00696463"/>
    <w:rsid w:val="006A286A"/>
    <w:rsid w:val="006D5A5D"/>
    <w:rsid w:val="006E5FF0"/>
    <w:rsid w:val="007301AD"/>
    <w:rsid w:val="00734F4F"/>
    <w:rsid w:val="00741600"/>
    <w:rsid w:val="00742AC5"/>
    <w:rsid w:val="007877FF"/>
    <w:rsid w:val="007B52E8"/>
    <w:rsid w:val="007C5605"/>
    <w:rsid w:val="007D5649"/>
    <w:rsid w:val="007E7EE2"/>
    <w:rsid w:val="008033FF"/>
    <w:rsid w:val="00821F72"/>
    <w:rsid w:val="00831CE1"/>
    <w:rsid w:val="008576CA"/>
    <w:rsid w:val="00861580"/>
    <w:rsid w:val="00882C14"/>
    <w:rsid w:val="008B36AA"/>
    <w:rsid w:val="009264AB"/>
    <w:rsid w:val="00930784"/>
    <w:rsid w:val="00941834"/>
    <w:rsid w:val="00945844"/>
    <w:rsid w:val="00945FD6"/>
    <w:rsid w:val="00964118"/>
    <w:rsid w:val="009648EA"/>
    <w:rsid w:val="00965A65"/>
    <w:rsid w:val="009671EF"/>
    <w:rsid w:val="00970BE8"/>
    <w:rsid w:val="009A14F2"/>
    <w:rsid w:val="009C7828"/>
    <w:rsid w:val="009D48B1"/>
    <w:rsid w:val="00A1304E"/>
    <w:rsid w:val="00A16BE0"/>
    <w:rsid w:val="00A33CFB"/>
    <w:rsid w:val="00A33D99"/>
    <w:rsid w:val="00A73D52"/>
    <w:rsid w:val="00A80C53"/>
    <w:rsid w:val="00A823D3"/>
    <w:rsid w:val="00A82ECF"/>
    <w:rsid w:val="00AA54D4"/>
    <w:rsid w:val="00AB68F1"/>
    <w:rsid w:val="00AD54C0"/>
    <w:rsid w:val="00AD76A4"/>
    <w:rsid w:val="00B0331D"/>
    <w:rsid w:val="00B15AC5"/>
    <w:rsid w:val="00B6011D"/>
    <w:rsid w:val="00B636ED"/>
    <w:rsid w:val="00B75550"/>
    <w:rsid w:val="00BD6A25"/>
    <w:rsid w:val="00BD7F7F"/>
    <w:rsid w:val="00BF71DD"/>
    <w:rsid w:val="00C02336"/>
    <w:rsid w:val="00C201D5"/>
    <w:rsid w:val="00C23E8D"/>
    <w:rsid w:val="00C26B0C"/>
    <w:rsid w:val="00C3704D"/>
    <w:rsid w:val="00C42741"/>
    <w:rsid w:val="00C73B19"/>
    <w:rsid w:val="00D30819"/>
    <w:rsid w:val="00D531FB"/>
    <w:rsid w:val="00D57523"/>
    <w:rsid w:val="00D81FA5"/>
    <w:rsid w:val="00D93C37"/>
    <w:rsid w:val="00DE39AF"/>
    <w:rsid w:val="00E1719B"/>
    <w:rsid w:val="00E323B9"/>
    <w:rsid w:val="00E46C2C"/>
    <w:rsid w:val="00E53D24"/>
    <w:rsid w:val="00E5685D"/>
    <w:rsid w:val="00E607C2"/>
    <w:rsid w:val="00E819D4"/>
    <w:rsid w:val="00E85B51"/>
    <w:rsid w:val="00E95FAA"/>
    <w:rsid w:val="00ED7FAB"/>
    <w:rsid w:val="00F11CEE"/>
    <w:rsid w:val="00F152C1"/>
    <w:rsid w:val="00F15C36"/>
    <w:rsid w:val="00F501C0"/>
    <w:rsid w:val="00F7586C"/>
    <w:rsid w:val="00FD4E2F"/>
    <w:rsid w:val="00FE3DBA"/>
    <w:rsid w:val="00FE40C8"/>
    <w:rsid w:val="00FF2097"/>
    <w:rsid w:val="00FF40E5"/>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decimalSymbol w:val=","/>
  <w:listSeparator w:val=";"/>
  <w14:docId w14:val="7F62136A"/>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A33CFB"/>
    <w:pPr>
      <w:keepNext/>
      <w:keepLines/>
      <w:spacing w:before="1200" w:after="600" w:line="360" w:lineRule="auto"/>
      <w:jc w:val="both"/>
      <w:outlineLvl w:val="0"/>
    </w:pPr>
    <w:rPr>
      <w:rFonts w:ascii="Times New Roman" w:eastAsia="MS Gothic" w:hAnsi="Times New Roman" w:cs="Times New Roman"/>
      <w:b/>
      <w:bCs/>
      <w:sz w:val="20"/>
      <w:szCs w:val="32"/>
      <w:lang w:eastAsia="x-none"/>
    </w:rPr>
  </w:style>
  <w:style w:type="paragraph" w:styleId="Balk2">
    <w:name w:val="heading 2"/>
    <w:basedOn w:val="Normal"/>
    <w:next w:val="Normal"/>
    <w:link w:val="Balk2Char"/>
    <w:uiPriority w:val="9"/>
    <w:unhideWhenUsed/>
    <w:qFormat/>
    <w:rsid w:val="00A33CFB"/>
    <w:pPr>
      <w:keepNext/>
      <w:keepLines/>
      <w:spacing w:before="840" w:after="480" w:line="360" w:lineRule="auto"/>
      <w:jc w:val="both"/>
      <w:outlineLvl w:val="1"/>
    </w:pPr>
    <w:rPr>
      <w:rFonts w:ascii="Times New Roman" w:eastAsia="MS Gothic" w:hAnsi="Times New Roman" w:cs="Times New Roman"/>
      <w:b/>
      <w:bCs/>
      <w:color w:val="FF0000"/>
      <w:szCs w:val="26"/>
      <w:lang w:val="x-none"/>
    </w:rPr>
  </w:style>
  <w:style w:type="paragraph" w:styleId="Balk3">
    <w:name w:val="heading 3"/>
    <w:basedOn w:val="Normal"/>
    <w:next w:val="Normal"/>
    <w:link w:val="Balk3Char"/>
    <w:uiPriority w:val="9"/>
    <w:unhideWhenUsed/>
    <w:qFormat/>
    <w:rsid w:val="00A33CFB"/>
    <w:pPr>
      <w:keepNext/>
      <w:keepLines/>
      <w:spacing w:before="600" w:after="360" w:line="360" w:lineRule="auto"/>
      <w:jc w:val="both"/>
      <w:outlineLvl w:val="2"/>
    </w:pPr>
    <w:rPr>
      <w:rFonts w:ascii="Times New Roman" w:eastAsia="MS Gothic" w:hAnsi="Times New Roman" w:cs="Times New Roman"/>
      <w:b/>
      <w:bCs/>
      <w:color w:val="7030A0"/>
      <w:lang w:val="x-none" w:eastAsia="x-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aliases w:val="Dipnot Metni Char Char Char,Dipnot Metni Char Char Char Char,Dipnot Metni Char Char, Char"/>
    <w:basedOn w:val="Normal"/>
    <w:link w:val="DipnotMetniChar"/>
    <w:unhideWhenUsed/>
    <w:qFormat/>
    <w:rsid w:val="004D1C4F"/>
  </w:style>
  <w:style w:type="character" w:customStyle="1" w:styleId="DipnotMetniChar">
    <w:name w:val="Dipnot Metni Char"/>
    <w:aliases w:val="Dipnot Metni Char Char Char Char1,Dipnot Metni Char Char Char Char Char,Dipnot Metni Char Char Char1, Char Char"/>
    <w:basedOn w:val="VarsaylanParagrafYazTipi"/>
    <w:link w:val="DipnotMetni"/>
    <w:rsid w:val="004D1C4F"/>
  </w:style>
  <w:style w:type="character" w:styleId="DipnotBavurusu">
    <w:name w:val="footnote reference"/>
    <w:basedOn w:val="VarsaylanParagrafYazTipi"/>
    <w:unhideWhenUsed/>
    <w:rsid w:val="004D1C4F"/>
    <w:rPr>
      <w:vertAlign w:val="superscript"/>
    </w:rPr>
  </w:style>
  <w:style w:type="paragraph" w:styleId="AltBilgi">
    <w:name w:val="footer"/>
    <w:basedOn w:val="Normal"/>
    <w:link w:val="AltBilgiChar"/>
    <w:uiPriority w:val="99"/>
    <w:unhideWhenUsed/>
    <w:rsid w:val="00E607C2"/>
    <w:pPr>
      <w:tabs>
        <w:tab w:val="center" w:pos="4536"/>
        <w:tab w:val="right" w:pos="9072"/>
      </w:tabs>
    </w:pPr>
  </w:style>
  <w:style w:type="character" w:customStyle="1" w:styleId="AltBilgiChar">
    <w:name w:val="Alt Bilgi Char"/>
    <w:basedOn w:val="VarsaylanParagrafYazTipi"/>
    <w:link w:val="AltBilgi"/>
    <w:uiPriority w:val="99"/>
    <w:rsid w:val="00E607C2"/>
  </w:style>
  <w:style w:type="character" w:styleId="SayfaNumaras">
    <w:name w:val="page number"/>
    <w:basedOn w:val="VarsaylanParagrafYazTipi"/>
    <w:uiPriority w:val="99"/>
    <w:semiHidden/>
    <w:unhideWhenUsed/>
    <w:rsid w:val="00E607C2"/>
  </w:style>
  <w:style w:type="paragraph" w:customStyle="1" w:styleId="Alinti">
    <w:name w:val="Alinti"/>
    <w:basedOn w:val="Normal"/>
    <w:qFormat/>
    <w:rsid w:val="00FF2097"/>
    <w:pPr>
      <w:spacing w:before="120" w:after="120" w:line="360" w:lineRule="auto"/>
      <w:ind w:left="851"/>
      <w:jc w:val="both"/>
    </w:pPr>
    <w:rPr>
      <w:rFonts w:ascii="Times New Roman" w:eastAsia="MS Mincho" w:hAnsi="Times New Roman" w:cs="Times New Roman"/>
      <w:color w:val="0070C0"/>
      <w:sz w:val="22"/>
      <w:szCs w:val="22"/>
    </w:rPr>
  </w:style>
  <w:style w:type="paragraph" w:styleId="ListeParagraf">
    <w:name w:val="List Paragraph"/>
    <w:basedOn w:val="Normal"/>
    <w:uiPriority w:val="34"/>
    <w:qFormat/>
    <w:rsid w:val="00A73D52"/>
    <w:pPr>
      <w:ind w:left="720"/>
      <w:contextualSpacing/>
    </w:pPr>
    <w:rPr>
      <w:rFonts w:ascii="Times New Roman" w:eastAsia="Times New Roman" w:hAnsi="Times New Roman" w:cs="Times New Roman"/>
      <w:lang w:eastAsia="tr-TR"/>
    </w:rPr>
  </w:style>
  <w:style w:type="paragraph" w:customStyle="1" w:styleId="Kaynakca">
    <w:name w:val="Kaynakca"/>
    <w:basedOn w:val="Normal"/>
    <w:qFormat/>
    <w:rsid w:val="00BD7F7F"/>
    <w:pPr>
      <w:spacing w:before="120" w:after="120" w:line="360" w:lineRule="auto"/>
      <w:ind w:left="737" w:hanging="737"/>
      <w:jc w:val="both"/>
    </w:pPr>
    <w:rPr>
      <w:rFonts w:ascii="Times New Roman" w:eastAsia="MS Mincho" w:hAnsi="Times New Roman" w:cs="Times New Roman"/>
      <w:sz w:val="22"/>
    </w:rPr>
  </w:style>
  <w:style w:type="character" w:customStyle="1" w:styleId="Balk1Char">
    <w:name w:val="Başlık 1 Char"/>
    <w:basedOn w:val="VarsaylanParagrafYazTipi"/>
    <w:link w:val="Balk1"/>
    <w:uiPriority w:val="9"/>
    <w:rsid w:val="00A33CFB"/>
    <w:rPr>
      <w:rFonts w:ascii="Times New Roman" w:eastAsia="MS Gothic" w:hAnsi="Times New Roman" w:cs="Times New Roman"/>
      <w:b/>
      <w:bCs/>
      <w:sz w:val="20"/>
      <w:szCs w:val="32"/>
      <w:lang w:eastAsia="x-none"/>
    </w:rPr>
  </w:style>
  <w:style w:type="character" w:customStyle="1" w:styleId="Balk2Char">
    <w:name w:val="Başlık 2 Char"/>
    <w:basedOn w:val="VarsaylanParagrafYazTipi"/>
    <w:link w:val="Balk2"/>
    <w:uiPriority w:val="9"/>
    <w:rsid w:val="00A33CFB"/>
    <w:rPr>
      <w:rFonts w:ascii="Times New Roman" w:eastAsia="MS Gothic" w:hAnsi="Times New Roman" w:cs="Times New Roman"/>
      <w:b/>
      <w:bCs/>
      <w:color w:val="FF0000"/>
      <w:szCs w:val="26"/>
      <w:lang w:val="x-none"/>
    </w:rPr>
  </w:style>
  <w:style w:type="character" w:customStyle="1" w:styleId="Balk3Char">
    <w:name w:val="Başlık 3 Char"/>
    <w:basedOn w:val="VarsaylanParagrafYazTipi"/>
    <w:link w:val="Balk3"/>
    <w:uiPriority w:val="9"/>
    <w:rsid w:val="00A33CFB"/>
    <w:rPr>
      <w:rFonts w:ascii="Times New Roman" w:eastAsia="MS Gothic" w:hAnsi="Times New Roman" w:cs="Times New Roman"/>
      <w:b/>
      <w:bCs/>
      <w:color w:val="7030A0"/>
      <w:lang w:val="x-none" w:eastAsia="x-none"/>
    </w:rPr>
  </w:style>
  <w:style w:type="character" w:customStyle="1" w:styleId="apple-converted-space">
    <w:name w:val="apple-converted-space"/>
    <w:basedOn w:val="VarsaylanParagrafYazTipi"/>
    <w:rsid w:val="00A33CFB"/>
  </w:style>
  <w:style w:type="paragraph" w:customStyle="1" w:styleId="BasicParagraph">
    <w:name w:val="[Basic Paragraph]"/>
    <w:basedOn w:val="Normal"/>
    <w:uiPriority w:val="99"/>
    <w:rsid w:val="00A33CFB"/>
    <w:pPr>
      <w:autoSpaceDE w:val="0"/>
      <w:autoSpaceDN w:val="0"/>
      <w:adjustRightInd w:val="0"/>
      <w:spacing w:before="120" w:after="120" w:line="288" w:lineRule="auto"/>
      <w:jc w:val="both"/>
    </w:pPr>
    <w:rPr>
      <w:rFonts w:ascii="Times Regular" w:eastAsia="Times New Roman" w:hAnsi="Times Regular" w:cs="Times Regular"/>
      <w:color w:val="000000"/>
      <w:lang w:val="en-GB"/>
    </w:rPr>
  </w:style>
  <w:style w:type="paragraph" w:styleId="BalonMetni">
    <w:name w:val="Balloon Text"/>
    <w:basedOn w:val="Normal"/>
    <w:link w:val="BalonMetniChar"/>
    <w:uiPriority w:val="99"/>
    <w:semiHidden/>
    <w:unhideWhenUsed/>
    <w:rsid w:val="00A33CFB"/>
    <w:pPr>
      <w:spacing w:before="120" w:after="120" w:line="360" w:lineRule="auto"/>
      <w:jc w:val="both"/>
    </w:pPr>
    <w:rPr>
      <w:rFonts w:ascii="Lucida Grande" w:eastAsia="MS Mincho" w:hAnsi="Lucida Grande" w:cs="Times New Roman"/>
      <w:sz w:val="18"/>
      <w:szCs w:val="18"/>
      <w:lang w:eastAsia="x-none"/>
    </w:rPr>
  </w:style>
  <w:style w:type="character" w:customStyle="1" w:styleId="BalonMetniChar">
    <w:name w:val="Balon Metni Char"/>
    <w:basedOn w:val="VarsaylanParagrafYazTipi"/>
    <w:link w:val="BalonMetni"/>
    <w:uiPriority w:val="99"/>
    <w:semiHidden/>
    <w:rsid w:val="00A33CFB"/>
    <w:rPr>
      <w:rFonts w:ascii="Lucida Grande" w:eastAsia="MS Mincho" w:hAnsi="Lucida Grande" w:cs="Times New Roman"/>
      <w:sz w:val="18"/>
      <w:szCs w:val="18"/>
      <w:lang w:eastAsia="x-none"/>
    </w:rPr>
  </w:style>
  <w:style w:type="paragraph" w:styleId="T1">
    <w:name w:val="toc 1"/>
    <w:basedOn w:val="Normal"/>
    <w:next w:val="Normal"/>
    <w:autoRedefine/>
    <w:uiPriority w:val="39"/>
    <w:unhideWhenUsed/>
    <w:rsid w:val="00A33CFB"/>
    <w:pPr>
      <w:tabs>
        <w:tab w:val="right" w:leader="dot" w:pos="9394"/>
      </w:tabs>
      <w:spacing w:line="360" w:lineRule="auto"/>
      <w:jc w:val="both"/>
    </w:pPr>
    <w:rPr>
      <w:rFonts w:ascii="Calibri" w:eastAsia="MS Mincho" w:hAnsi="Calibri" w:cs="Times New Roman"/>
      <w:b/>
      <w:noProof/>
      <w:lang w:eastAsia="tr-TR"/>
    </w:rPr>
  </w:style>
  <w:style w:type="paragraph" w:styleId="T2">
    <w:name w:val="toc 2"/>
    <w:basedOn w:val="Normal"/>
    <w:next w:val="Normal"/>
    <w:autoRedefine/>
    <w:uiPriority w:val="39"/>
    <w:unhideWhenUsed/>
    <w:rsid w:val="00A33CFB"/>
    <w:pPr>
      <w:spacing w:before="120" w:after="120" w:line="360" w:lineRule="auto"/>
      <w:jc w:val="both"/>
    </w:pPr>
    <w:rPr>
      <w:rFonts w:ascii="Cambria" w:eastAsia="MS Mincho" w:hAnsi="Cambria" w:cs="Times New Roman"/>
      <w:sz w:val="22"/>
      <w:szCs w:val="22"/>
    </w:rPr>
  </w:style>
  <w:style w:type="paragraph" w:styleId="T3">
    <w:name w:val="toc 3"/>
    <w:basedOn w:val="Normal"/>
    <w:next w:val="Normal"/>
    <w:autoRedefine/>
    <w:uiPriority w:val="39"/>
    <w:unhideWhenUsed/>
    <w:rsid w:val="00A33CFB"/>
    <w:pPr>
      <w:spacing w:before="120" w:after="120" w:line="360" w:lineRule="auto"/>
      <w:ind w:left="240"/>
      <w:jc w:val="both"/>
    </w:pPr>
    <w:rPr>
      <w:rFonts w:ascii="Cambria" w:eastAsia="MS Mincho" w:hAnsi="Cambria" w:cs="Times New Roman"/>
      <w:i/>
      <w:sz w:val="22"/>
      <w:szCs w:val="22"/>
    </w:rPr>
  </w:style>
  <w:style w:type="paragraph" w:styleId="T4">
    <w:name w:val="toc 4"/>
    <w:basedOn w:val="Normal"/>
    <w:next w:val="Normal"/>
    <w:autoRedefine/>
    <w:uiPriority w:val="39"/>
    <w:unhideWhenUsed/>
    <w:rsid w:val="00A33CFB"/>
    <w:pPr>
      <w:pBdr>
        <w:between w:val="double" w:sz="6" w:space="0" w:color="auto"/>
      </w:pBdr>
      <w:spacing w:before="120" w:after="120" w:line="360" w:lineRule="auto"/>
      <w:ind w:left="480"/>
      <w:jc w:val="both"/>
    </w:pPr>
    <w:rPr>
      <w:rFonts w:ascii="Cambria" w:eastAsia="MS Mincho" w:hAnsi="Cambria" w:cs="Times New Roman"/>
      <w:sz w:val="20"/>
      <w:szCs w:val="20"/>
    </w:rPr>
  </w:style>
  <w:style w:type="paragraph" w:styleId="T5">
    <w:name w:val="toc 5"/>
    <w:basedOn w:val="Normal"/>
    <w:next w:val="Normal"/>
    <w:autoRedefine/>
    <w:uiPriority w:val="39"/>
    <w:unhideWhenUsed/>
    <w:rsid w:val="00A33CFB"/>
    <w:pPr>
      <w:pBdr>
        <w:between w:val="double" w:sz="6" w:space="0" w:color="auto"/>
      </w:pBdr>
      <w:spacing w:before="120" w:after="120" w:line="360" w:lineRule="auto"/>
      <w:ind w:left="720"/>
      <w:jc w:val="both"/>
    </w:pPr>
    <w:rPr>
      <w:rFonts w:ascii="Cambria" w:eastAsia="MS Mincho" w:hAnsi="Cambria" w:cs="Times New Roman"/>
      <w:sz w:val="20"/>
      <w:szCs w:val="20"/>
    </w:rPr>
  </w:style>
  <w:style w:type="paragraph" w:styleId="T6">
    <w:name w:val="toc 6"/>
    <w:basedOn w:val="Normal"/>
    <w:next w:val="Normal"/>
    <w:autoRedefine/>
    <w:uiPriority w:val="39"/>
    <w:unhideWhenUsed/>
    <w:rsid w:val="00A33CFB"/>
    <w:pPr>
      <w:pBdr>
        <w:between w:val="double" w:sz="6" w:space="0" w:color="auto"/>
      </w:pBdr>
      <w:spacing w:before="120" w:after="120" w:line="360" w:lineRule="auto"/>
      <w:ind w:left="960"/>
      <w:jc w:val="both"/>
    </w:pPr>
    <w:rPr>
      <w:rFonts w:ascii="Cambria" w:eastAsia="MS Mincho" w:hAnsi="Cambria" w:cs="Times New Roman"/>
      <w:sz w:val="20"/>
      <w:szCs w:val="20"/>
    </w:rPr>
  </w:style>
  <w:style w:type="paragraph" w:styleId="T7">
    <w:name w:val="toc 7"/>
    <w:basedOn w:val="Normal"/>
    <w:next w:val="Normal"/>
    <w:autoRedefine/>
    <w:uiPriority w:val="39"/>
    <w:unhideWhenUsed/>
    <w:rsid w:val="00A33CFB"/>
    <w:pPr>
      <w:pBdr>
        <w:between w:val="double" w:sz="6" w:space="0" w:color="auto"/>
      </w:pBdr>
      <w:spacing w:before="120" w:after="120" w:line="360" w:lineRule="auto"/>
      <w:ind w:left="1200"/>
      <w:jc w:val="both"/>
    </w:pPr>
    <w:rPr>
      <w:rFonts w:ascii="Cambria" w:eastAsia="MS Mincho" w:hAnsi="Cambria" w:cs="Times New Roman"/>
      <w:sz w:val="20"/>
      <w:szCs w:val="20"/>
    </w:rPr>
  </w:style>
  <w:style w:type="paragraph" w:styleId="T8">
    <w:name w:val="toc 8"/>
    <w:basedOn w:val="Normal"/>
    <w:next w:val="Normal"/>
    <w:autoRedefine/>
    <w:uiPriority w:val="39"/>
    <w:unhideWhenUsed/>
    <w:rsid w:val="00A33CFB"/>
    <w:pPr>
      <w:pBdr>
        <w:between w:val="double" w:sz="6" w:space="0" w:color="auto"/>
      </w:pBdr>
      <w:spacing w:before="120" w:after="120" w:line="360" w:lineRule="auto"/>
      <w:ind w:left="1440"/>
      <w:jc w:val="both"/>
    </w:pPr>
    <w:rPr>
      <w:rFonts w:ascii="Cambria" w:eastAsia="MS Mincho" w:hAnsi="Cambria" w:cs="Times New Roman"/>
      <w:sz w:val="20"/>
      <w:szCs w:val="20"/>
    </w:rPr>
  </w:style>
  <w:style w:type="paragraph" w:styleId="T9">
    <w:name w:val="toc 9"/>
    <w:basedOn w:val="Normal"/>
    <w:next w:val="Normal"/>
    <w:autoRedefine/>
    <w:uiPriority w:val="39"/>
    <w:unhideWhenUsed/>
    <w:rsid w:val="00A33CFB"/>
    <w:pPr>
      <w:pBdr>
        <w:between w:val="double" w:sz="6" w:space="0" w:color="auto"/>
      </w:pBdr>
      <w:spacing w:before="120" w:after="120" w:line="360" w:lineRule="auto"/>
      <w:ind w:left="1680"/>
      <w:jc w:val="both"/>
    </w:pPr>
    <w:rPr>
      <w:rFonts w:ascii="Cambria" w:eastAsia="MS Mincho" w:hAnsi="Cambria" w:cs="Times New Roman"/>
      <w:sz w:val="20"/>
      <w:szCs w:val="20"/>
    </w:rPr>
  </w:style>
  <w:style w:type="paragraph" w:styleId="TBal">
    <w:name w:val="TOC Heading"/>
    <w:basedOn w:val="Balk1"/>
    <w:next w:val="Normal"/>
    <w:uiPriority w:val="39"/>
    <w:unhideWhenUsed/>
    <w:qFormat/>
    <w:rsid w:val="00A33CFB"/>
    <w:pPr>
      <w:outlineLvl w:val="9"/>
    </w:pPr>
    <w:rPr>
      <w:color w:val="365F91"/>
      <w:sz w:val="28"/>
      <w:szCs w:val="28"/>
      <w:lang w:val="en-US"/>
    </w:rPr>
  </w:style>
  <w:style w:type="character" w:styleId="AklamaBavurusu">
    <w:name w:val="annotation reference"/>
    <w:uiPriority w:val="99"/>
    <w:semiHidden/>
    <w:unhideWhenUsed/>
    <w:rsid w:val="00A33CFB"/>
    <w:rPr>
      <w:sz w:val="18"/>
      <w:szCs w:val="18"/>
    </w:rPr>
  </w:style>
  <w:style w:type="paragraph" w:styleId="AklamaMetni">
    <w:name w:val="annotation text"/>
    <w:basedOn w:val="Normal"/>
    <w:link w:val="AklamaMetniChar"/>
    <w:uiPriority w:val="99"/>
    <w:semiHidden/>
    <w:unhideWhenUsed/>
    <w:rsid w:val="00A33CFB"/>
    <w:pPr>
      <w:spacing w:before="120" w:after="120" w:line="360" w:lineRule="auto"/>
      <w:jc w:val="both"/>
    </w:pPr>
    <w:rPr>
      <w:rFonts w:ascii="Times New Roman" w:eastAsia="MS Mincho" w:hAnsi="Times New Roman" w:cs="Times New Roman"/>
      <w:sz w:val="20"/>
      <w:szCs w:val="20"/>
      <w:lang w:eastAsia="x-none"/>
    </w:rPr>
  </w:style>
  <w:style w:type="character" w:customStyle="1" w:styleId="AklamaMetniChar">
    <w:name w:val="Açıklama Metni Char"/>
    <w:basedOn w:val="VarsaylanParagrafYazTipi"/>
    <w:link w:val="AklamaMetni"/>
    <w:uiPriority w:val="99"/>
    <w:semiHidden/>
    <w:rsid w:val="00A33CFB"/>
    <w:rPr>
      <w:rFonts w:ascii="Times New Roman" w:eastAsia="MS Mincho" w:hAnsi="Times New Roman" w:cs="Times New Roman"/>
      <w:sz w:val="20"/>
      <w:szCs w:val="20"/>
      <w:lang w:eastAsia="x-none"/>
    </w:rPr>
  </w:style>
  <w:style w:type="paragraph" w:styleId="AklamaKonusu">
    <w:name w:val="annotation subject"/>
    <w:basedOn w:val="AklamaMetni"/>
    <w:next w:val="AklamaMetni"/>
    <w:link w:val="AklamaKonusuChar"/>
    <w:uiPriority w:val="99"/>
    <w:semiHidden/>
    <w:unhideWhenUsed/>
    <w:rsid w:val="00A33CFB"/>
    <w:rPr>
      <w:b/>
      <w:bCs/>
    </w:rPr>
  </w:style>
  <w:style w:type="character" w:customStyle="1" w:styleId="AklamaKonusuChar">
    <w:name w:val="Açıklama Konusu Char"/>
    <w:basedOn w:val="AklamaMetniChar"/>
    <w:link w:val="AklamaKonusu"/>
    <w:uiPriority w:val="99"/>
    <w:semiHidden/>
    <w:rsid w:val="00A33CFB"/>
    <w:rPr>
      <w:rFonts w:ascii="Times New Roman" w:eastAsia="MS Mincho" w:hAnsi="Times New Roman" w:cs="Times New Roman"/>
      <w:b/>
      <w:bCs/>
      <w:sz w:val="20"/>
      <w:szCs w:val="20"/>
      <w:lang w:eastAsia="x-none"/>
    </w:rPr>
  </w:style>
  <w:style w:type="paragraph" w:styleId="BelgeBalantlar">
    <w:name w:val="Document Map"/>
    <w:basedOn w:val="Normal"/>
    <w:link w:val="BelgeBalantlarChar"/>
    <w:uiPriority w:val="99"/>
    <w:semiHidden/>
    <w:unhideWhenUsed/>
    <w:rsid w:val="00A33CFB"/>
    <w:pPr>
      <w:spacing w:before="120" w:after="120" w:line="360" w:lineRule="auto"/>
      <w:jc w:val="both"/>
    </w:pPr>
    <w:rPr>
      <w:rFonts w:ascii="Lucida Grande" w:eastAsia="MS Mincho" w:hAnsi="Lucida Grande" w:cs="Times New Roman"/>
      <w:sz w:val="20"/>
      <w:szCs w:val="20"/>
      <w:lang w:eastAsia="x-none"/>
    </w:rPr>
  </w:style>
  <w:style w:type="character" w:customStyle="1" w:styleId="BelgeBalantlarChar">
    <w:name w:val="Belge Bağlantıları Char"/>
    <w:basedOn w:val="VarsaylanParagrafYazTipi"/>
    <w:link w:val="BelgeBalantlar"/>
    <w:uiPriority w:val="99"/>
    <w:semiHidden/>
    <w:rsid w:val="00A33CFB"/>
    <w:rPr>
      <w:rFonts w:ascii="Lucida Grande" w:eastAsia="MS Mincho" w:hAnsi="Lucida Grande" w:cs="Times New Roman"/>
      <w:sz w:val="20"/>
      <w:szCs w:val="20"/>
      <w:lang w:eastAsia="x-none"/>
    </w:rPr>
  </w:style>
  <w:style w:type="paragraph" w:styleId="SonNotMetni">
    <w:name w:val="endnote text"/>
    <w:basedOn w:val="Normal"/>
    <w:link w:val="SonNotMetniChar"/>
    <w:uiPriority w:val="99"/>
    <w:semiHidden/>
    <w:unhideWhenUsed/>
    <w:rsid w:val="00A33CFB"/>
    <w:pPr>
      <w:spacing w:before="120" w:after="120" w:line="360" w:lineRule="auto"/>
      <w:jc w:val="both"/>
    </w:pPr>
    <w:rPr>
      <w:rFonts w:ascii="Times New Roman" w:eastAsia="MS Mincho" w:hAnsi="Times New Roman" w:cs="Times New Roman"/>
      <w:sz w:val="20"/>
      <w:szCs w:val="20"/>
      <w:lang w:eastAsia="x-none"/>
    </w:rPr>
  </w:style>
  <w:style w:type="character" w:customStyle="1" w:styleId="SonNotMetniChar">
    <w:name w:val="Son Not Metni Char"/>
    <w:basedOn w:val="VarsaylanParagrafYazTipi"/>
    <w:link w:val="SonNotMetni"/>
    <w:uiPriority w:val="99"/>
    <w:semiHidden/>
    <w:rsid w:val="00A33CFB"/>
    <w:rPr>
      <w:rFonts w:ascii="Times New Roman" w:eastAsia="MS Mincho" w:hAnsi="Times New Roman" w:cs="Times New Roman"/>
      <w:sz w:val="20"/>
      <w:szCs w:val="20"/>
      <w:lang w:eastAsia="x-none"/>
    </w:rPr>
  </w:style>
  <w:style w:type="character" w:styleId="SonNotBavurusu">
    <w:name w:val="endnote reference"/>
    <w:uiPriority w:val="99"/>
    <w:semiHidden/>
    <w:unhideWhenUsed/>
    <w:rsid w:val="00A33CFB"/>
    <w:rPr>
      <w:vertAlign w:val="superscript"/>
    </w:rPr>
  </w:style>
  <w:style w:type="character" w:styleId="Kpr">
    <w:name w:val="Hyperlink"/>
    <w:uiPriority w:val="99"/>
    <w:unhideWhenUsed/>
    <w:rsid w:val="00A33CFB"/>
    <w:rPr>
      <w:color w:val="0000FF"/>
      <w:u w:val="single"/>
    </w:rPr>
  </w:style>
  <w:style w:type="paragraph" w:styleId="stBilgi">
    <w:name w:val="header"/>
    <w:basedOn w:val="Normal"/>
    <w:link w:val="stBilgiChar"/>
    <w:uiPriority w:val="99"/>
    <w:semiHidden/>
    <w:unhideWhenUsed/>
    <w:rsid w:val="00A33CFB"/>
    <w:pPr>
      <w:tabs>
        <w:tab w:val="center" w:pos="4536"/>
        <w:tab w:val="right" w:pos="9072"/>
      </w:tabs>
      <w:jc w:val="both"/>
    </w:pPr>
    <w:rPr>
      <w:rFonts w:ascii="Times New Roman" w:eastAsia="MS Mincho" w:hAnsi="Times New Roman" w:cs="Times New Roman"/>
      <w:sz w:val="20"/>
      <w:szCs w:val="20"/>
      <w:lang w:eastAsia="x-none"/>
    </w:rPr>
  </w:style>
  <w:style w:type="character" w:customStyle="1" w:styleId="stBilgiChar">
    <w:name w:val="Üst Bilgi Char"/>
    <w:basedOn w:val="VarsaylanParagrafYazTipi"/>
    <w:link w:val="stBilgi"/>
    <w:uiPriority w:val="99"/>
    <w:semiHidden/>
    <w:rsid w:val="00A33CFB"/>
    <w:rPr>
      <w:rFonts w:ascii="Times New Roman" w:eastAsia="MS Mincho" w:hAnsi="Times New Roman" w:cs="Times New Roman"/>
      <w:sz w:val="20"/>
      <w:szCs w:val="20"/>
      <w:lang w:eastAsia="x-none"/>
    </w:rPr>
  </w:style>
  <w:style w:type="paragraph" w:styleId="Dzeltme">
    <w:name w:val="Revision"/>
    <w:hidden/>
    <w:uiPriority w:val="71"/>
    <w:rsid w:val="00A33CFB"/>
    <w:rPr>
      <w:rFonts w:ascii="Times New Roman" w:eastAsia="MS Mincho" w:hAnsi="Times New Roman" w:cs="Times New Roman"/>
    </w:rPr>
  </w:style>
  <w:style w:type="paragraph" w:styleId="Dizin1">
    <w:name w:val="index 1"/>
    <w:basedOn w:val="Normal"/>
    <w:next w:val="Normal"/>
    <w:autoRedefine/>
    <w:uiPriority w:val="99"/>
    <w:unhideWhenUsed/>
    <w:rsid w:val="00A33CFB"/>
    <w:pPr>
      <w:spacing w:before="120" w:after="120" w:line="360" w:lineRule="auto"/>
      <w:ind w:left="240" w:hanging="240"/>
      <w:jc w:val="both"/>
    </w:pPr>
    <w:rPr>
      <w:rFonts w:ascii="Times New Roman" w:eastAsia="MS Mincho" w:hAnsi="Times New Roman" w:cs="Times New Roman"/>
    </w:rPr>
  </w:style>
  <w:style w:type="paragraph" w:styleId="Dizin2">
    <w:name w:val="index 2"/>
    <w:basedOn w:val="Normal"/>
    <w:next w:val="Normal"/>
    <w:autoRedefine/>
    <w:uiPriority w:val="99"/>
    <w:unhideWhenUsed/>
    <w:rsid w:val="00A33CFB"/>
    <w:pPr>
      <w:spacing w:before="120" w:after="120" w:line="360" w:lineRule="auto"/>
      <w:ind w:left="480" w:hanging="240"/>
      <w:jc w:val="both"/>
    </w:pPr>
    <w:rPr>
      <w:rFonts w:ascii="Times New Roman" w:eastAsia="MS Mincho" w:hAnsi="Times New Roman" w:cs="Times New Roman"/>
    </w:rPr>
  </w:style>
  <w:style w:type="paragraph" w:styleId="Dizin3">
    <w:name w:val="index 3"/>
    <w:basedOn w:val="Normal"/>
    <w:next w:val="Normal"/>
    <w:autoRedefine/>
    <w:uiPriority w:val="99"/>
    <w:unhideWhenUsed/>
    <w:rsid w:val="00A33CFB"/>
    <w:pPr>
      <w:spacing w:before="120" w:after="120" w:line="360" w:lineRule="auto"/>
      <w:ind w:left="720" w:hanging="240"/>
      <w:jc w:val="both"/>
    </w:pPr>
    <w:rPr>
      <w:rFonts w:ascii="Times New Roman" w:eastAsia="MS Mincho" w:hAnsi="Times New Roman" w:cs="Times New Roman"/>
    </w:rPr>
  </w:style>
  <w:style w:type="paragraph" w:styleId="Dizin4">
    <w:name w:val="index 4"/>
    <w:basedOn w:val="Normal"/>
    <w:next w:val="Normal"/>
    <w:autoRedefine/>
    <w:uiPriority w:val="99"/>
    <w:unhideWhenUsed/>
    <w:rsid w:val="00A33CFB"/>
    <w:pPr>
      <w:spacing w:before="120" w:after="120" w:line="360" w:lineRule="auto"/>
      <w:ind w:left="960" w:hanging="240"/>
      <w:jc w:val="both"/>
    </w:pPr>
    <w:rPr>
      <w:rFonts w:ascii="Times New Roman" w:eastAsia="MS Mincho" w:hAnsi="Times New Roman" w:cs="Times New Roman"/>
    </w:rPr>
  </w:style>
  <w:style w:type="paragraph" w:styleId="Dizin5">
    <w:name w:val="index 5"/>
    <w:basedOn w:val="Normal"/>
    <w:next w:val="Normal"/>
    <w:autoRedefine/>
    <w:uiPriority w:val="99"/>
    <w:unhideWhenUsed/>
    <w:rsid w:val="00A33CFB"/>
    <w:pPr>
      <w:spacing w:before="120" w:after="120" w:line="360" w:lineRule="auto"/>
      <w:ind w:left="1200" w:hanging="240"/>
      <w:jc w:val="both"/>
    </w:pPr>
    <w:rPr>
      <w:rFonts w:ascii="Times New Roman" w:eastAsia="MS Mincho" w:hAnsi="Times New Roman" w:cs="Times New Roman"/>
    </w:rPr>
  </w:style>
  <w:style w:type="paragraph" w:styleId="Dizin6">
    <w:name w:val="index 6"/>
    <w:basedOn w:val="Normal"/>
    <w:next w:val="Normal"/>
    <w:autoRedefine/>
    <w:uiPriority w:val="99"/>
    <w:unhideWhenUsed/>
    <w:rsid w:val="00A33CFB"/>
    <w:pPr>
      <w:spacing w:before="120" w:after="120" w:line="360" w:lineRule="auto"/>
      <w:ind w:left="1440" w:hanging="240"/>
      <w:jc w:val="both"/>
    </w:pPr>
    <w:rPr>
      <w:rFonts w:ascii="Times New Roman" w:eastAsia="MS Mincho" w:hAnsi="Times New Roman" w:cs="Times New Roman"/>
    </w:rPr>
  </w:style>
  <w:style w:type="paragraph" w:styleId="Dizin7">
    <w:name w:val="index 7"/>
    <w:basedOn w:val="Normal"/>
    <w:next w:val="Normal"/>
    <w:autoRedefine/>
    <w:uiPriority w:val="99"/>
    <w:unhideWhenUsed/>
    <w:rsid w:val="00A33CFB"/>
    <w:pPr>
      <w:spacing w:before="120" w:after="120" w:line="360" w:lineRule="auto"/>
      <w:ind w:left="1680" w:hanging="240"/>
      <w:jc w:val="both"/>
    </w:pPr>
    <w:rPr>
      <w:rFonts w:ascii="Times New Roman" w:eastAsia="MS Mincho" w:hAnsi="Times New Roman" w:cs="Times New Roman"/>
    </w:rPr>
  </w:style>
  <w:style w:type="paragraph" w:styleId="Dizin8">
    <w:name w:val="index 8"/>
    <w:basedOn w:val="Normal"/>
    <w:next w:val="Normal"/>
    <w:autoRedefine/>
    <w:uiPriority w:val="99"/>
    <w:unhideWhenUsed/>
    <w:rsid w:val="00A33CFB"/>
    <w:pPr>
      <w:spacing w:before="120" w:after="120" w:line="360" w:lineRule="auto"/>
      <w:ind w:left="1920" w:hanging="240"/>
      <w:jc w:val="both"/>
    </w:pPr>
    <w:rPr>
      <w:rFonts w:ascii="Times New Roman" w:eastAsia="MS Mincho" w:hAnsi="Times New Roman" w:cs="Times New Roman"/>
    </w:rPr>
  </w:style>
  <w:style w:type="paragraph" w:styleId="Dizin9">
    <w:name w:val="index 9"/>
    <w:basedOn w:val="Normal"/>
    <w:next w:val="Normal"/>
    <w:autoRedefine/>
    <w:uiPriority w:val="99"/>
    <w:unhideWhenUsed/>
    <w:rsid w:val="00A33CFB"/>
    <w:pPr>
      <w:spacing w:before="120" w:after="120" w:line="360" w:lineRule="auto"/>
      <w:ind w:left="2160" w:hanging="240"/>
      <w:jc w:val="both"/>
    </w:pPr>
    <w:rPr>
      <w:rFonts w:ascii="Times New Roman" w:eastAsia="MS Mincho" w:hAnsi="Times New Roman" w:cs="Times New Roman"/>
    </w:rPr>
  </w:style>
  <w:style w:type="paragraph" w:styleId="DizinBal">
    <w:name w:val="index heading"/>
    <w:basedOn w:val="Normal"/>
    <w:next w:val="Dizin1"/>
    <w:uiPriority w:val="99"/>
    <w:unhideWhenUsed/>
    <w:rsid w:val="00A33CFB"/>
    <w:pPr>
      <w:spacing w:before="120" w:after="120" w:line="360" w:lineRule="auto"/>
      <w:jc w:val="both"/>
    </w:pPr>
    <w:rPr>
      <w:rFonts w:ascii="Times New Roman" w:eastAsia="MS Mincho"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69429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eması">
  <a:themeElements>
    <a:clrScheme name="Ofi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is">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8647653-BC2C-7D43-8095-9FBE2391A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3919</Words>
  <Characters>22341</Characters>
  <Application>Microsoft Macintosh Word</Application>
  <DocSecurity>0</DocSecurity>
  <Lines>186</Lines>
  <Paragraphs>52</Paragraphs>
  <ScaleCrop>false</ScaleCrop>
  <HeadingPairs>
    <vt:vector size="2" baseType="variant">
      <vt:variant>
        <vt:lpstr>Başlık</vt:lpstr>
      </vt:variant>
      <vt:variant>
        <vt:i4>1</vt:i4>
      </vt:variant>
    </vt:vector>
  </HeadingPairs>
  <TitlesOfParts>
    <vt:vector size="1" baseType="lpstr">
      <vt:lpstr/>
    </vt:vector>
  </TitlesOfParts>
  <LinksUpToDate>false</LinksUpToDate>
  <CharactersWithSpaces>26208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Kullanıcısı</dc:creator>
  <cp:keywords/>
  <dc:description/>
  <cp:lastModifiedBy>Microsoft Office Kullanıcısı</cp:lastModifiedBy>
  <cp:revision>2</cp:revision>
  <dcterms:created xsi:type="dcterms:W3CDTF">2019-06-05T22:30:00Z</dcterms:created>
  <dcterms:modified xsi:type="dcterms:W3CDTF">2019-06-05T22:30:00Z</dcterms:modified>
</cp:coreProperties>
</file>